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6A5D">
      <w:pPr>
        <w:spacing w:line="276" w:lineRule="auto"/>
        <w:rPr>
          <w:rFonts w:cstheme="minorHAnsi"/>
        </w:rPr>
      </w:pPr>
      <w:bookmarkStart w:id="1" w:name="_GoBack"/>
      <w:bookmarkEnd w:id="1"/>
      <w:r>
        <w:rPr>
          <w:rFonts w:cstheme="minorHAnsi"/>
        </w:rPr>
        <w:drawing>
          <wp:inline distT="0" distB="0" distL="0" distR="0">
            <wp:extent cx="723900" cy="1123950"/>
            <wp:effectExtent l="0" t="0" r="0" b="0"/>
            <wp:docPr id="1561248814" name="Picture 2" descr="C:\Users\MSunama\AppData\Local\Microsoft\Windows\INetCache\Content.MSO\B6595AAA.tm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48814" name="Picture 2" descr="C:\Users\MSunama\AppData\Local\Microsoft\Windows\INetCache\Content.MSO\B6595AAA.tmp,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23900" cy="1123950"/>
                    </a:xfrm>
                    <a:prstGeom prst="rect">
                      <a:avLst/>
                    </a:prstGeom>
                    <a:noFill/>
                    <a:ln>
                      <a:noFill/>
                    </a:ln>
                  </pic:spPr>
                </pic:pic>
              </a:graphicData>
            </a:graphic>
          </wp:inline>
        </w:drawing>
      </w:r>
      <w:r>
        <w:rPr>
          <w:rFonts w:cstheme="minorHAnsi"/>
        </w:rPr>
        <w:t>  </w:t>
      </w:r>
    </w:p>
    <w:p w14:paraId="21774A0E">
      <w:pPr>
        <w:spacing w:line="276" w:lineRule="auto"/>
        <w:rPr>
          <w:rFonts w:cstheme="minorHAnsi"/>
        </w:rPr>
      </w:pPr>
      <w:r>
        <w:rPr>
          <w:rFonts w:cstheme="minorHAnsi"/>
          <w:lang w:val="en-GB"/>
        </w:rPr>
        <w:t>                                                                                                                             </w:t>
      </w:r>
      <w:r>
        <w:rPr>
          <w:rFonts w:cstheme="minorHAnsi"/>
        </w:rPr>
        <w:t>  </w:t>
      </w:r>
    </w:p>
    <w:p w14:paraId="7860AD82">
      <w:pPr>
        <w:spacing w:line="276" w:lineRule="auto"/>
        <w:rPr>
          <w:rFonts w:cstheme="minorHAnsi"/>
        </w:rPr>
      </w:pPr>
      <w:r>
        <w:rPr>
          <w:rFonts w:cstheme="minorHAnsi"/>
          <w:b/>
          <w:u w:val="single"/>
          <w:lang w:val="en-GB"/>
        </w:rPr>
        <w:t>UPDATE ON THE PROJECT ACTIVITIES IMPLEMENTED IN ADAMAWA STATE</w:t>
      </w:r>
      <w:r>
        <w:rPr>
          <w:rFonts w:cstheme="minorHAnsi"/>
        </w:rPr>
        <w:t>  </w:t>
      </w:r>
    </w:p>
    <w:p w14:paraId="2FED5DCC">
      <w:pPr>
        <w:spacing w:line="276" w:lineRule="auto"/>
        <w:rPr>
          <w:rFonts w:cstheme="minorHAnsi"/>
        </w:rPr>
      </w:pPr>
      <w:r>
        <w:rPr>
          <w:rFonts w:cstheme="minorHAnsi"/>
        </w:rPr>
        <w:t>  </w:t>
      </w:r>
    </w:p>
    <w:p w14:paraId="40342178">
      <w:pPr>
        <w:spacing w:line="276" w:lineRule="auto"/>
        <w:rPr>
          <w:rFonts w:cstheme="minorHAnsi"/>
        </w:rPr>
      </w:pPr>
      <w:r>
        <w:rPr>
          <w:rFonts w:cstheme="minorHAnsi"/>
          <w:b/>
          <w:u w:val="single"/>
          <w:lang w:val="en-GB"/>
        </w:rPr>
        <w:t>REPORTING PERIOD: JULY - SEPTEMBER 2025</w:t>
      </w:r>
      <w:r>
        <w:rPr>
          <w:rFonts w:cstheme="minorHAnsi"/>
        </w:rPr>
        <w:t>  </w:t>
      </w:r>
    </w:p>
    <w:p w14:paraId="2AF4C193">
      <w:pPr>
        <w:spacing w:line="276" w:lineRule="auto"/>
        <w:rPr>
          <w:rFonts w:cstheme="minorHAnsi"/>
        </w:rPr>
      </w:pPr>
      <w:r>
        <w:rPr>
          <w:rFonts w:cstheme="minorHAnsi"/>
        </w:rPr>
        <w:t>  </w:t>
      </w:r>
    </w:p>
    <w:p w14:paraId="0AB2FB19">
      <w:pPr>
        <w:spacing w:line="276" w:lineRule="auto"/>
        <w:rPr>
          <w:rFonts w:cstheme="minorHAnsi"/>
        </w:rPr>
      </w:pPr>
      <w:r>
        <w:rPr>
          <w:rFonts w:cstheme="minorHAnsi"/>
          <w:b/>
          <w:u w:val="single"/>
          <w:lang w:val="en-GB"/>
        </w:rPr>
        <w:t>TARGETED ACTIVITIES FOR THIS PERIOD: </w:t>
      </w:r>
      <w:r>
        <w:rPr>
          <w:rFonts w:cstheme="minorHAnsi"/>
        </w:rPr>
        <w:t>  </w:t>
      </w:r>
    </w:p>
    <w:p w14:paraId="0F57A7A1">
      <w:pPr>
        <w:spacing w:line="276" w:lineRule="auto"/>
        <w:rPr>
          <w:rFonts w:cstheme="minorHAnsi"/>
        </w:rPr>
      </w:pPr>
      <w:r>
        <w:rPr>
          <w:rFonts w:cstheme="minorHAnsi"/>
          <w:b/>
          <w:lang w:val="en-GB"/>
        </w:rPr>
        <w:t>NTDs: </w:t>
      </w:r>
      <w:r>
        <w:rPr>
          <w:rFonts w:cstheme="minorHAnsi"/>
        </w:rPr>
        <w:t>  </w:t>
      </w:r>
    </w:p>
    <w:p w14:paraId="30C69226">
      <w:pPr>
        <w:spacing w:line="276" w:lineRule="auto"/>
        <w:rPr>
          <w:rFonts w:cstheme="minorHAnsi"/>
        </w:rPr>
      </w:pPr>
      <w:r>
        <w:rPr>
          <w:rFonts w:cstheme="minorHAnsi"/>
          <w:b/>
          <w:bCs/>
          <w:u w:val="single"/>
        </w:rPr>
        <w:t>Give Well Schistosomiasis and Soil-Transmitted Helminths (STH) Mass Drug Administration</w:t>
      </w:r>
      <w:r>
        <w:rPr>
          <w:rFonts w:cstheme="minorHAnsi"/>
        </w:rPr>
        <w:t> </w:t>
      </w:r>
    </w:p>
    <w:p w14:paraId="31F3BAE1">
      <w:pPr>
        <w:numPr>
          <w:ilvl w:val="0"/>
          <w:numId w:val="1"/>
        </w:numPr>
        <w:spacing w:line="276" w:lineRule="auto"/>
        <w:rPr>
          <w:rFonts w:eastAsia="Arial" w:cstheme="minorHAnsi"/>
        </w:rPr>
      </w:pPr>
      <w:r>
        <w:rPr>
          <w:rFonts w:cstheme="minorHAnsi"/>
        </w:rPr>
        <w:t xml:space="preserve">Schistosomiasis Planning Meeting                                         </w:t>
      </w:r>
      <w:r>
        <w:rPr>
          <w:rFonts w:eastAsia="Arial (Body)" w:cstheme="minorHAnsi"/>
        </w:rPr>
        <w:t>16th –7th Sept 2025</w:t>
      </w:r>
    </w:p>
    <w:p w14:paraId="7B20632D">
      <w:pPr>
        <w:spacing w:line="276" w:lineRule="auto"/>
        <w:rPr>
          <w:rFonts w:cstheme="minorHAnsi"/>
          <w:u w:val="single"/>
        </w:rPr>
      </w:pPr>
      <w:r>
        <w:rPr>
          <w:rFonts w:cstheme="minorHAnsi"/>
          <w:b/>
          <w:bCs/>
          <w:u w:val="single"/>
        </w:rPr>
        <w:t xml:space="preserve">Reaching the Last Mile </w:t>
      </w:r>
      <w:r>
        <w:rPr>
          <w:rFonts w:cstheme="minorHAnsi"/>
          <w:u w:val="single"/>
        </w:rPr>
        <w:t xml:space="preserve"> </w:t>
      </w:r>
    </w:p>
    <w:p w14:paraId="359098B2">
      <w:pPr>
        <w:pStyle w:val="24"/>
        <w:numPr>
          <w:ilvl w:val="0"/>
          <w:numId w:val="2"/>
        </w:numPr>
        <w:spacing w:line="276" w:lineRule="auto"/>
        <w:rPr>
          <w:rFonts w:cstheme="minorHAnsi"/>
        </w:rPr>
      </w:pPr>
      <w:r>
        <w:rPr>
          <w:rFonts w:cstheme="minorHAnsi"/>
        </w:rPr>
        <w:t>Laboratory science training on FTS and QFAT                   11</w:t>
      </w:r>
      <w:r>
        <w:rPr>
          <w:rFonts w:cstheme="minorHAnsi"/>
          <w:vertAlign w:val="superscript"/>
        </w:rPr>
        <w:t>th-</w:t>
      </w:r>
      <w:r>
        <w:rPr>
          <w:rFonts w:cstheme="minorHAnsi"/>
        </w:rPr>
        <w:t>16</w:t>
      </w:r>
      <w:r>
        <w:rPr>
          <w:rFonts w:cstheme="minorHAnsi"/>
          <w:vertAlign w:val="superscript"/>
        </w:rPr>
        <w:t>th</w:t>
      </w:r>
      <w:r>
        <w:rPr>
          <w:rFonts w:cstheme="minorHAnsi"/>
        </w:rPr>
        <w:t xml:space="preserve"> August 2025 </w:t>
      </w:r>
    </w:p>
    <w:p w14:paraId="1A139AF2">
      <w:pPr>
        <w:pStyle w:val="24"/>
        <w:numPr>
          <w:ilvl w:val="0"/>
          <w:numId w:val="2"/>
        </w:numPr>
        <w:spacing w:line="276" w:lineRule="auto"/>
        <w:rPr>
          <w:rFonts w:cstheme="minorHAnsi"/>
        </w:rPr>
      </w:pPr>
      <w:r>
        <w:rPr>
          <w:rFonts w:cstheme="minorHAnsi"/>
          <w:u w:val="single"/>
        </w:rPr>
        <w:t>Hydrocele Planning Meeting</w:t>
      </w:r>
      <w:r>
        <w:rPr>
          <w:rFonts w:cstheme="minorHAnsi"/>
        </w:rPr>
        <w:tab/>
      </w:r>
      <w:r>
        <w:rPr>
          <w:rFonts w:cstheme="minorHAnsi"/>
        </w:rPr>
        <w:tab/>
      </w:r>
      <w:r>
        <w:rPr>
          <w:rFonts w:cstheme="minorHAnsi"/>
        </w:rPr>
        <w:t xml:space="preserve">                                  20</w:t>
      </w:r>
      <w:r>
        <w:rPr>
          <w:rFonts w:cstheme="minorHAnsi"/>
          <w:vertAlign w:val="superscript"/>
        </w:rPr>
        <w:t>th</w:t>
      </w:r>
      <w:r>
        <w:rPr>
          <w:rFonts w:cstheme="minorHAnsi"/>
        </w:rPr>
        <w:t xml:space="preserve"> August 2025</w:t>
      </w:r>
    </w:p>
    <w:p w14:paraId="407A4E07">
      <w:pPr>
        <w:pStyle w:val="24"/>
        <w:numPr>
          <w:ilvl w:val="0"/>
          <w:numId w:val="2"/>
        </w:numPr>
        <w:spacing w:line="276" w:lineRule="auto"/>
        <w:rPr>
          <w:rFonts w:eastAsia="Times New Roman" w:cstheme="minorHAnsi"/>
          <w:lang w:val="en-GB"/>
        </w:rPr>
      </w:pPr>
      <w:r>
        <w:rPr>
          <w:rFonts w:cstheme="minorHAnsi"/>
          <w:u w:val="single"/>
        </w:rPr>
        <w:t xml:space="preserve">Hydrocele Facility Assessment </w:t>
      </w:r>
      <w:r>
        <w:rPr>
          <w:rFonts w:cstheme="minorHAnsi"/>
        </w:rPr>
        <w:t xml:space="preserve">                                        </w:t>
      </w:r>
      <w:r>
        <w:rPr>
          <w:rFonts w:eastAsia="Arial (Body)" w:cstheme="minorHAnsi"/>
        </w:rPr>
        <w:t xml:space="preserve">   </w:t>
      </w:r>
      <w:r>
        <w:rPr>
          <w:rFonts w:eastAsia="Arial (Body)" w:cstheme="minorHAnsi"/>
          <w:lang w:val="en-GB"/>
        </w:rPr>
        <w:t xml:space="preserve"> 4</w:t>
      </w:r>
      <w:r>
        <w:rPr>
          <w:rFonts w:eastAsia="Arial (Body)" w:cstheme="minorHAnsi"/>
          <w:vertAlign w:val="superscript"/>
          <w:lang w:val="en-GB"/>
        </w:rPr>
        <w:t>th</w:t>
      </w:r>
      <w:r>
        <w:rPr>
          <w:rFonts w:eastAsia="Arial (Body)" w:cstheme="minorHAnsi"/>
          <w:lang w:val="en-GB"/>
        </w:rPr>
        <w:t xml:space="preserve"> -6th August 2025</w:t>
      </w:r>
    </w:p>
    <w:p w14:paraId="6ADBDBA4">
      <w:pPr>
        <w:pStyle w:val="24"/>
        <w:numPr>
          <w:ilvl w:val="0"/>
          <w:numId w:val="2"/>
        </w:numPr>
        <w:spacing w:line="276" w:lineRule="auto"/>
        <w:rPr>
          <w:rFonts w:cstheme="minorHAnsi"/>
        </w:rPr>
      </w:pPr>
      <w:r>
        <w:rPr>
          <w:rFonts w:cstheme="minorHAnsi"/>
          <w:u w:val="single"/>
        </w:rPr>
        <w:t>Hydrocele Tracker Training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xml:space="preserve">        5th September 2025</w:t>
      </w:r>
    </w:p>
    <w:p w14:paraId="050ED200">
      <w:pPr>
        <w:pStyle w:val="24"/>
        <w:numPr>
          <w:ilvl w:val="0"/>
          <w:numId w:val="2"/>
        </w:numPr>
        <w:spacing w:line="276" w:lineRule="auto"/>
        <w:rPr>
          <w:rFonts w:cstheme="minorHAnsi"/>
          <w:u w:val="single"/>
        </w:rPr>
      </w:pPr>
      <w:r>
        <w:rPr>
          <w:rFonts w:cstheme="minorHAnsi"/>
          <w:u w:val="single"/>
        </w:rPr>
        <w:t>Hydrocele Camp Surgeries</w:t>
      </w:r>
      <w:r>
        <w:rPr>
          <w:rFonts w:cstheme="minorHAnsi"/>
        </w:rPr>
        <w:tab/>
      </w:r>
      <w:r>
        <w:rPr>
          <w:rFonts w:cstheme="minorHAnsi"/>
        </w:rPr>
        <w:tab/>
      </w:r>
      <w:r>
        <w:rPr>
          <w:rFonts w:cstheme="minorHAnsi"/>
        </w:rPr>
        <w:tab/>
      </w:r>
      <w:r>
        <w:rPr>
          <w:rFonts w:cstheme="minorHAnsi"/>
          <w:u w:val="single"/>
        </w:rPr>
        <w:t>8</w:t>
      </w:r>
      <w:r>
        <w:rPr>
          <w:rFonts w:cstheme="minorHAnsi"/>
          <w:u w:val="single"/>
          <w:vertAlign w:val="superscript"/>
        </w:rPr>
        <w:t>th</w:t>
      </w:r>
      <w:r>
        <w:rPr>
          <w:rFonts w:cstheme="minorHAnsi"/>
          <w:u w:val="single"/>
        </w:rPr>
        <w:t>-12</w:t>
      </w:r>
      <w:r>
        <w:rPr>
          <w:rFonts w:cstheme="minorHAnsi"/>
          <w:u w:val="single"/>
          <w:vertAlign w:val="superscript"/>
        </w:rPr>
        <w:t>th</w:t>
      </w:r>
      <w:r>
        <w:rPr>
          <w:rFonts w:cstheme="minorHAnsi"/>
          <w:u w:val="single"/>
        </w:rPr>
        <w:t>-22</w:t>
      </w:r>
      <w:r>
        <w:rPr>
          <w:rFonts w:cstheme="minorHAnsi"/>
          <w:u w:val="single"/>
          <w:vertAlign w:val="superscript"/>
        </w:rPr>
        <w:t>nd</w:t>
      </w:r>
      <w:r>
        <w:rPr>
          <w:rFonts w:cstheme="minorHAnsi"/>
          <w:u w:val="single"/>
        </w:rPr>
        <w:t xml:space="preserve"> -26</w:t>
      </w:r>
      <w:r>
        <w:rPr>
          <w:rFonts w:cstheme="minorHAnsi"/>
          <w:u w:val="single"/>
          <w:vertAlign w:val="superscript"/>
        </w:rPr>
        <w:t>th</w:t>
      </w:r>
      <w:r>
        <w:rPr>
          <w:rFonts w:cstheme="minorHAnsi"/>
          <w:u w:val="single"/>
        </w:rPr>
        <w:t xml:space="preserve"> Sep 2025</w:t>
      </w:r>
    </w:p>
    <w:p w14:paraId="5B84D9A0">
      <w:pPr>
        <w:spacing w:line="276" w:lineRule="auto"/>
        <w:rPr>
          <w:rFonts w:cstheme="minorHAnsi"/>
        </w:rPr>
      </w:pPr>
      <w:r>
        <w:rPr>
          <w:rFonts w:cstheme="minorHAnsi"/>
          <w:b/>
          <w:bCs/>
          <w:u w:val="single"/>
        </w:rPr>
        <w:t>Bill and Melinda Gates Foundation (Onchocerciasis Entomological Survey)</w:t>
      </w:r>
      <w:r>
        <w:rPr>
          <w:rFonts w:cstheme="minorHAnsi"/>
        </w:rPr>
        <w:t> </w:t>
      </w:r>
    </w:p>
    <w:p w14:paraId="129DB3AF">
      <w:pPr>
        <w:numPr>
          <w:ilvl w:val="0"/>
          <w:numId w:val="3"/>
        </w:numPr>
        <w:spacing w:line="276" w:lineRule="auto"/>
        <w:rPr>
          <w:rFonts w:cstheme="minorHAnsi"/>
        </w:rPr>
      </w:pPr>
      <w:r>
        <w:rPr>
          <w:rFonts w:cstheme="minorHAnsi"/>
        </w:rPr>
        <w:t>Monitoring of human landing catchers</w:t>
      </w:r>
      <w:r>
        <w:rPr>
          <w:rFonts w:cstheme="minorHAnsi"/>
        </w:rPr>
        <w:tab/>
      </w:r>
      <w:r>
        <w:rPr>
          <w:rFonts w:cstheme="minorHAnsi"/>
        </w:rPr>
        <w:t> </w:t>
      </w:r>
      <w:r>
        <w:rPr>
          <w:rFonts w:cstheme="minorHAnsi"/>
        </w:rPr>
        <w:tab/>
      </w:r>
      <w:r>
        <w:rPr>
          <w:rFonts w:cstheme="minorHAnsi"/>
        </w:rPr>
        <w:tab/>
      </w:r>
      <w:r>
        <w:rPr>
          <w:rFonts w:cstheme="minorHAnsi"/>
        </w:rPr>
        <w:tab/>
      </w:r>
      <w:r>
        <w:rPr>
          <w:rFonts w:cstheme="minorHAnsi"/>
        </w:rPr>
        <w:t>July -Sept 2025 </w:t>
      </w:r>
    </w:p>
    <w:p w14:paraId="4702EAE9">
      <w:pPr>
        <w:numPr>
          <w:ilvl w:val="0"/>
          <w:numId w:val="4"/>
        </w:numPr>
        <w:spacing w:line="276" w:lineRule="auto"/>
        <w:rPr>
          <w:rFonts w:cstheme="minorHAnsi"/>
        </w:rPr>
      </w:pPr>
      <w:r>
        <w:rPr>
          <w:rFonts w:cstheme="minorHAnsi"/>
        </w:rPr>
        <w:t>Training of human landing catchers</w:t>
      </w:r>
      <w:r>
        <w:rPr>
          <w:rFonts w:cstheme="minorHAnsi"/>
        </w:rPr>
        <w:tab/>
      </w:r>
      <w:r>
        <w:rPr>
          <w:rFonts w:cstheme="minorHAnsi"/>
        </w:rPr>
        <w:tab/>
      </w:r>
      <w:r>
        <w:rPr>
          <w:rFonts w:cstheme="minorHAnsi"/>
        </w:rPr>
        <w:tab/>
      </w:r>
      <w:r>
        <w:rPr>
          <w:rFonts w:cstheme="minorHAnsi"/>
        </w:rPr>
        <w:tab/>
      </w:r>
      <w:r>
        <w:rPr>
          <w:rFonts w:cstheme="minorHAnsi"/>
        </w:rPr>
        <w:t>July -Sept 2025 </w:t>
      </w:r>
    </w:p>
    <w:p w14:paraId="55FAB82C">
      <w:pPr>
        <w:numPr>
          <w:ilvl w:val="0"/>
          <w:numId w:val="5"/>
        </w:numPr>
        <w:spacing w:line="276" w:lineRule="auto"/>
        <w:rPr>
          <w:rFonts w:cstheme="minorHAnsi"/>
        </w:rPr>
      </w:pPr>
      <w:r>
        <w:rPr>
          <w:rFonts w:cstheme="minorHAnsi"/>
        </w:rPr>
        <w:t>Collection of Blackflies</w:t>
      </w:r>
      <w:r>
        <w:rPr>
          <w:rFonts w:cstheme="minorHAnsi"/>
        </w:rPr>
        <w:tab/>
      </w:r>
      <w:r>
        <w:rPr>
          <w:rFonts w:cstheme="minorHAnsi"/>
        </w:rPr>
        <w:tab/>
      </w:r>
      <w:r>
        <w:rPr>
          <w:rFonts w:cstheme="minorHAnsi"/>
        </w:rPr>
        <w:tab/>
      </w:r>
      <w:r>
        <w:rPr>
          <w:rFonts w:cstheme="minorHAnsi"/>
        </w:rPr>
        <w:tab/>
      </w:r>
      <w:r>
        <w:rPr>
          <w:rFonts w:cstheme="minorHAnsi"/>
        </w:rPr>
        <w:t xml:space="preserve"> </w:t>
      </w:r>
      <w:r>
        <w:rPr>
          <w:rFonts w:cstheme="minorHAnsi"/>
        </w:rPr>
        <w:tab/>
      </w:r>
      <w:r>
        <w:rPr>
          <w:rFonts w:cstheme="minorHAnsi"/>
        </w:rPr>
        <w:tab/>
      </w:r>
      <w:r>
        <w:rPr>
          <w:rFonts w:cstheme="minorHAnsi"/>
        </w:rPr>
        <w:t>July -Sept 2025 </w:t>
      </w:r>
    </w:p>
    <w:p w14:paraId="4F37177A">
      <w:pPr>
        <w:numPr>
          <w:ilvl w:val="0"/>
          <w:numId w:val="5"/>
        </w:numPr>
        <w:spacing w:line="276" w:lineRule="auto"/>
        <w:rPr>
          <w:rFonts w:cstheme="minorHAnsi"/>
        </w:rPr>
      </w:pPr>
      <w:r>
        <w:rPr>
          <w:rFonts w:cstheme="minorHAnsi"/>
        </w:rPr>
        <w:t xml:space="preserve">Sorting of Blackflies and Data validation </w:t>
      </w:r>
      <w:r>
        <w:rPr>
          <w:rFonts w:cstheme="minorHAnsi"/>
        </w:rPr>
        <w:tab/>
      </w:r>
      <w:r>
        <w:rPr>
          <w:rFonts w:cstheme="minorHAnsi"/>
        </w:rPr>
        <w:tab/>
      </w:r>
      <w:r>
        <w:rPr>
          <w:rFonts w:cstheme="minorHAnsi"/>
        </w:rPr>
        <w:tab/>
      </w:r>
      <w:r>
        <w:rPr>
          <w:rFonts w:cstheme="minorHAnsi"/>
        </w:rPr>
        <w:tab/>
      </w:r>
      <w:r>
        <w:rPr>
          <w:rFonts w:cstheme="minorHAnsi"/>
        </w:rPr>
        <w:t>July -Sept 2025</w:t>
      </w:r>
    </w:p>
    <w:p w14:paraId="0E784D6C">
      <w:pPr>
        <w:spacing w:line="276" w:lineRule="auto"/>
        <w:rPr>
          <w:rFonts w:cstheme="minorHAnsi"/>
        </w:rPr>
      </w:pPr>
      <w:r>
        <w:rPr>
          <w:rFonts w:cstheme="minorHAnsi"/>
        </w:rPr>
        <w:t> </w:t>
      </w:r>
    </w:p>
    <w:p w14:paraId="383EEF1E">
      <w:pPr>
        <w:spacing w:line="276" w:lineRule="auto"/>
        <w:rPr>
          <w:rFonts w:cstheme="minorHAnsi"/>
          <w:u w:val="single"/>
        </w:rPr>
      </w:pPr>
      <w:r>
        <w:rPr>
          <w:rFonts w:cstheme="minorHAnsi"/>
          <w:b/>
          <w:bCs/>
          <w:u w:val="single"/>
          <w:lang w:val="en-GB"/>
        </w:rPr>
        <w:t>Improving the food security and nutrition of IDPs and non-IDPs in Fufore LGA</w:t>
      </w:r>
      <w:r>
        <w:rPr>
          <w:rFonts w:cstheme="minorHAnsi"/>
          <w:u w:val="single"/>
        </w:rPr>
        <w:t>  </w:t>
      </w:r>
    </w:p>
    <w:p w14:paraId="6168254B">
      <w:pPr>
        <w:spacing w:line="276" w:lineRule="auto"/>
        <w:rPr>
          <w:rFonts w:cstheme="minorHAnsi"/>
        </w:rPr>
      </w:pPr>
      <w:r>
        <w:rPr>
          <w:rFonts w:cstheme="minorHAnsi"/>
        </w:rPr>
        <w:t>  </w:t>
      </w:r>
    </w:p>
    <w:p w14:paraId="736B8E74">
      <w:pPr>
        <w:numPr>
          <w:ilvl w:val="0"/>
          <w:numId w:val="6"/>
        </w:numPr>
        <w:spacing w:line="276" w:lineRule="auto"/>
        <w:rPr>
          <w:rFonts w:cstheme="minorHAnsi"/>
        </w:rPr>
      </w:pPr>
      <w:r>
        <w:rPr>
          <w:rFonts w:cstheme="minorHAnsi"/>
        </w:rPr>
        <w:t>House-to-house mid-upper arm circumference (MUAC) screening - July – Sept 2025</w:t>
      </w:r>
    </w:p>
    <w:p w14:paraId="7576D965">
      <w:pPr>
        <w:numPr>
          <w:ilvl w:val="0"/>
          <w:numId w:val="7"/>
        </w:numPr>
        <w:spacing w:line="276" w:lineRule="auto"/>
        <w:rPr>
          <w:rFonts w:cstheme="minorHAnsi"/>
        </w:rPr>
      </w:pPr>
      <w:r>
        <w:rPr>
          <w:rFonts w:cstheme="minorHAnsi"/>
        </w:rPr>
        <w:t xml:space="preserve">Supervision of demonstration and home gardens </w:t>
      </w:r>
      <w:r>
        <w:rPr>
          <w:rFonts w:cstheme="minorHAnsi"/>
        </w:rPr>
        <w:tab/>
      </w:r>
      <w:r>
        <w:rPr>
          <w:rFonts w:cstheme="minorHAnsi"/>
        </w:rPr>
        <w:tab/>
      </w:r>
      <w:r>
        <w:rPr>
          <w:rFonts w:cstheme="minorHAnsi"/>
        </w:rPr>
        <w:t>- July – Sept 2025</w:t>
      </w:r>
    </w:p>
    <w:p w14:paraId="6C85CCED">
      <w:pPr>
        <w:numPr>
          <w:ilvl w:val="0"/>
          <w:numId w:val="8"/>
        </w:numPr>
        <w:spacing w:line="276" w:lineRule="auto"/>
        <w:rPr>
          <w:rFonts w:cstheme="minorHAnsi"/>
        </w:rPr>
      </w:pPr>
      <w:r>
        <w:rPr>
          <w:rFonts w:cstheme="minorHAnsi"/>
        </w:rPr>
        <w:t xml:space="preserve">Monthly support group meetings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July – Sept 2025 </w:t>
      </w:r>
    </w:p>
    <w:p w14:paraId="3B6A5C95">
      <w:pPr>
        <w:pStyle w:val="24"/>
        <w:numPr>
          <w:ilvl w:val="0"/>
          <w:numId w:val="8"/>
        </w:numPr>
        <w:spacing w:line="276" w:lineRule="auto"/>
        <w:rPr>
          <w:rFonts w:cstheme="minorHAnsi"/>
        </w:rPr>
      </w:pPr>
      <w:r>
        <w:rPr>
          <w:rFonts w:cstheme="minorHAnsi"/>
        </w:rPr>
        <w:t>Supervision of village savings and loan association (VSLA) savings group meeting    - July – Sept 2025  </w:t>
      </w:r>
    </w:p>
    <w:p w14:paraId="2C9CAAF3">
      <w:pPr>
        <w:pStyle w:val="24"/>
        <w:numPr>
          <w:ilvl w:val="0"/>
          <w:numId w:val="8"/>
        </w:numPr>
        <w:spacing w:line="276" w:lineRule="auto"/>
        <w:rPr>
          <w:rFonts w:cstheme="minorHAnsi"/>
        </w:rPr>
      </w:pPr>
      <w:r>
        <w:rPr>
          <w:rFonts w:cstheme="minorHAnsi"/>
        </w:rPr>
        <w:t xml:space="preserve">Village savings and loan association audit and share out </w:t>
      </w:r>
      <w:r>
        <w:rPr>
          <w:rFonts w:cstheme="minorHAnsi"/>
        </w:rPr>
        <w:tab/>
      </w:r>
      <w:r>
        <w:rPr>
          <w:rFonts w:cstheme="minorHAnsi"/>
        </w:rPr>
        <w:t xml:space="preserve"> -July 2025.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w:t>
      </w:r>
    </w:p>
    <w:p w14:paraId="37899DAF">
      <w:pPr>
        <w:pStyle w:val="24"/>
        <w:numPr>
          <w:ilvl w:val="0"/>
          <w:numId w:val="8"/>
        </w:numPr>
        <w:spacing w:line="276" w:lineRule="auto"/>
        <w:rPr>
          <w:rFonts w:cstheme="minorHAnsi"/>
        </w:rPr>
      </w:pPr>
      <w:r>
        <w:rPr>
          <w:rFonts w:cstheme="minorHAnsi"/>
        </w:rPr>
        <w:t>Supervision and monitoring of income-generating activities (IGA) - July – Sept 2025</w:t>
      </w:r>
    </w:p>
    <w:p w14:paraId="543587CA">
      <w:pPr>
        <w:numPr>
          <w:ilvl w:val="0"/>
          <w:numId w:val="9"/>
        </w:numPr>
        <w:spacing w:line="276" w:lineRule="auto"/>
        <w:rPr>
          <w:rFonts w:cstheme="minorHAnsi"/>
        </w:rPr>
      </w:pPr>
      <w:r>
        <w:rPr>
          <w:rFonts w:cstheme="minorHAnsi"/>
        </w:rPr>
        <w:t>Monthly data validation with community health workers and agricultural extension workers.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xml:space="preserve"> - July – Sept 2025</w:t>
      </w:r>
      <w:r>
        <w:rPr>
          <w:rFonts w:cstheme="minorHAnsi"/>
        </w:rPr>
        <w:tab/>
      </w:r>
      <w:r>
        <w:rPr>
          <w:rFonts w:cstheme="minorHAnsi"/>
        </w:rPr>
        <w:tab/>
      </w:r>
      <w:r>
        <w:rPr>
          <w:rFonts w:cstheme="minorHAnsi"/>
        </w:rPr>
        <w:tab/>
      </w:r>
      <w:r>
        <w:rPr>
          <w:rFonts w:cstheme="minorHAnsi"/>
        </w:rPr>
        <w:tab/>
      </w:r>
      <w:r>
        <w:rPr>
          <w:rFonts w:cstheme="minorHAnsi"/>
        </w:rPr>
        <w:t>  </w:t>
      </w:r>
    </w:p>
    <w:p w14:paraId="3F97F583">
      <w:pPr>
        <w:numPr>
          <w:ilvl w:val="0"/>
          <w:numId w:val="10"/>
        </w:numPr>
        <w:spacing w:line="276" w:lineRule="auto"/>
        <w:rPr>
          <w:rFonts w:cstheme="minorHAnsi"/>
        </w:rPr>
      </w:pPr>
      <w:r>
        <w:rPr>
          <w:rFonts w:cstheme="minorHAnsi"/>
          <w:lang w:val="en-GB"/>
        </w:rPr>
        <w:t>Cooking demonstration to project participants</w:t>
      </w:r>
      <w:r>
        <w:rPr>
          <w:rFonts w:cstheme="minorHAnsi"/>
        </w:rPr>
        <w:tab/>
      </w:r>
      <w:r>
        <w:rPr>
          <w:rFonts w:cstheme="minorHAnsi"/>
        </w:rPr>
        <w:tab/>
      </w:r>
      <w:r>
        <w:rPr>
          <w:rFonts w:cstheme="minorHAnsi"/>
          <w:lang w:val="en-GB"/>
        </w:rPr>
        <w:t xml:space="preserve"> </w:t>
      </w:r>
      <w:r>
        <w:rPr>
          <w:rFonts w:cstheme="minorHAnsi"/>
        </w:rPr>
        <w:tab/>
      </w:r>
      <w:r>
        <w:rPr>
          <w:rFonts w:cstheme="minorHAnsi"/>
        </w:rPr>
        <w:t xml:space="preserve">- August </w:t>
      </w:r>
      <w:r>
        <w:rPr>
          <w:rFonts w:cstheme="minorHAnsi"/>
          <w:lang w:val="en-GB"/>
        </w:rPr>
        <w:t>2025</w:t>
      </w:r>
      <w:r>
        <w:rPr>
          <w:rFonts w:cstheme="minorHAnsi"/>
        </w:rPr>
        <w:t> </w:t>
      </w:r>
    </w:p>
    <w:p w14:paraId="105B4458">
      <w:pPr>
        <w:numPr>
          <w:ilvl w:val="0"/>
          <w:numId w:val="10"/>
        </w:numPr>
        <w:spacing w:line="276" w:lineRule="auto"/>
        <w:rPr>
          <w:rFonts w:cstheme="minorHAnsi"/>
        </w:rPr>
      </w:pPr>
      <w:r>
        <w:rPr>
          <w:rFonts w:cstheme="minorHAnsi"/>
        </w:rPr>
        <w:t xml:space="preserve">Joint Supportive Supervision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August 2025.</w:t>
      </w:r>
    </w:p>
    <w:p w14:paraId="3E2D78EA">
      <w:pPr>
        <w:numPr>
          <w:ilvl w:val="0"/>
          <w:numId w:val="11"/>
        </w:numPr>
        <w:spacing w:line="276" w:lineRule="auto"/>
        <w:rPr>
          <w:rFonts w:cstheme="minorHAnsi"/>
        </w:rPr>
      </w:pPr>
      <w:r>
        <w:rPr>
          <w:rFonts w:cstheme="minorHAnsi"/>
        </w:rPr>
        <w:t>Distribution of Hygiene Kts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July 2025</w:t>
      </w:r>
    </w:p>
    <w:p w14:paraId="26121E67">
      <w:pPr>
        <w:numPr>
          <w:ilvl w:val="0"/>
          <w:numId w:val="11"/>
        </w:numPr>
        <w:spacing w:line="276" w:lineRule="auto"/>
        <w:rPr>
          <w:rFonts w:cstheme="minorHAnsi"/>
        </w:rPr>
      </w:pPr>
      <w:r>
        <w:rPr>
          <w:rFonts w:cstheme="minorHAnsi"/>
        </w:rPr>
        <w:t xml:space="preserve">Distribution of Agric tools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-July 2025</w:t>
      </w:r>
    </w:p>
    <w:p w14:paraId="08280230">
      <w:pPr>
        <w:pStyle w:val="24"/>
        <w:numPr>
          <w:ilvl w:val="0"/>
          <w:numId w:val="11"/>
        </w:numPr>
        <w:spacing w:line="276" w:lineRule="auto"/>
        <w:rPr>
          <w:rFonts w:cstheme="minorHAnsi"/>
        </w:rPr>
      </w:pPr>
      <w:r>
        <w:rPr>
          <w:rFonts w:cstheme="minorHAnsi"/>
        </w:rPr>
        <w:t xml:space="preserve">Endline Survey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September 2025.</w:t>
      </w:r>
    </w:p>
    <w:p w14:paraId="2776444F">
      <w:pPr>
        <w:spacing w:line="276" w:lineRule="auto"/>
        <w:rPr>
          <w:rFonts w:cstheme="minorHAnsi"/>
          <w:b/>
          <w:lang w:val="en-GB"/>
        </w:rPr>
      </w:pPr>
    </w:p>
    <w:p w14:paraId="319B96CA">
      <w:pPr>
        <w:spacing w:line="276" w:lineRule="auto"/>
        <w:rPr>
          <w:rFonts w:cstheme="minorHAnsi"/>
        </w:rPr>
      </w:pPr>
      <w:r>
        <w:rPr>
          <w:rFonts w:cstheme="minorHAnsi"/>
          <w:b/>
          <w:lang w:val="en-GB"/>
        </w:rPr>
        <w:t>Transforming Lives through Nutrition (TLTN)</w:t>
      </w:r>
    </w:p>
    <w:p w14:paraId="38F48ED6">
      <w:pPr>
        <w:spacing w:line="276" w:lineRule="auto"/>
        <w:rPr>
          <w:rFonts w:cstheme="minorHAnsi"/>
        </w:rPr>
      </w:pPr>
    </w:p>
    <w:p w14:paraId="72D93808">
      <w:pPr>
        <w:numPr>
          <w:ilvl w:val="0"/>
          <w:numId w:val="12"/>
        </w:numPr>
        <w:spacing w:line="276" w:lineRule="auto"/>
        <w:rPr>
          <w:rFonts w:eastAsia="Arial" w:cstheme="minorHAnsi"/>
          <w:lang w:val="en-GB"/>
        </w:rPr>
      </w:pPr>
      <w:r>
        <w:rPr>
          <w:rFonts w:eastAsia="Arial" w:cstheme="minorHAnsi"/>
          <w:lang w:val="en-GB"/>
        </w:rPr>
        <w:t>Result Sharing Meeting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eastAsia="Arial" w:cstheme="minorHAnsi"/>
          <w:lang w:val="en-GB"/>
        </w:rPr>
        <w:t>- August 2025</w:t>
      </w:r>
    </w:p>
    <w:p w14:paraId="69CA6844">
      <w:pPr>
        <w:numPr>
          <w:ilvl w:val="0"/>
          <w:numId w:val="12"/>
        </w:numPr>
        <w:spacing w:line="276" w:lineRule="auto"/>
        <w:rPr>
          <w:rFonts w:eastAsia="Arial" w:cstheme="minorHAnsi"/>
          <w:lang w:val="en-GB"/>
        </w:rPr>
      </w:pPr>
      <w:r>
        <w:rPr>
          <w:rFonts w:eastAsia="Arial" w:cstheme="minorHAnsi"/>
          <w:lang w:val="en-GB"/>
        </w:rPr>
        <w:t>Program Planning Meeting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eastAsia="Arial" w:cstheme="minorHAnsi"/>
          <w:lang w:val="en-GB"/>
        </w:rPr>
        <w:t xml:space="preserve">- August 2025 </w:t>
      </w:r>
    </w:p>
    <w:p w14:paraId="6AB69841">
      <w:pPr>
        <w:numPr>
          <w:ilvl w:val="0"/>
          <w:numId w:val="12"/>
        </w:numPr>
        <w:spacing w:line="276" w:lineRule="auto"/>
        <w:rPr>
          <w:rFonts w:eastAsia="Arial" w:cstheme="minorHAnsi"/>
          <w:lang w:val="en-GB"/>
        </w:rPr>
      </w:pPr>
      <w:r>
        <w:rPr>
          <w:rFonts w:eastAsia="Arial" w:cstheme="minorHAnsi"/>
          <w:lang w:val="en-GB"/>
        </w:rPr>
        <w:t>Training on Enhanced Home Food Production for Agricultural Extension Workers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eastAsia="Arial" w:cstheme="minorHAnsi"/>
          <w:lang w:val="en-GB"/>
        </w:rPr>
        <w:t>- August 2025</w:t>
      </w:r>
    </w:p>
    <w:p w14:paraId="421F7697">
      <w:pPr>
        <w:numPr>
          <w:ilvl w:val="0"/>
          <w:numId w:val="12"/>
        </w:numPr>
        <w:spacing w:line="276" w:lineRule="auto"/>
        <w:rPr>
          <w:rFonts w:eastAsia="Arial" w:cstheme="minorHAnsi"/>
        </w:rPr>
      </w:pPr>
      <w:r>
        <w:rPr>
          <w:rFonts w:eastAsia="Arial" w:cstheme="minorHAnsi"/>
        </w:rPr>
        <w:t>Distribution of water, sanitation, and hygiene Items</w:t>
      </w:r>
      <w:r>
        <w:rPr>
          <w:rFonts w:cstheme="minorHAnsi"/>
        </w:rPr>
        <w:tab/>
      </w:r>
      <w:r>
        <w:rPr>
          <w:rFonts w:cstheme="minorHAnsi"/>
        </w:rPr>
        <w:tab/>
      </w:r>
      <w:r>
        <w:rPr>
          <w:rFonts w:eastAsia="Arial" w:cstheme="minorHAnsi"/>
        </w:rPr>
        <w:t>- September 2025</w:t>
      </w:r>
    </w:p>
    <w:p w14:paraId="6CF91045">
      <w:pPr>
        <w:numPr>
          <w:ilvl w:val="0"/>
          <w:numId w:val="12"/>
        </w:numPr>
        <w:spacing w:line="276" w:lineRule="auto"/>
        <w:rPr>
          <w:rFonts w:eastAsia="Arial" w:cstheme="minorHAnsi"/>
        </w:rPr>
      </w:pPr>
      <w:r>
        <w:rPr>
          <w:rFonts w:eastAsia="Arial" w:cstheme="minorHAnsi"/>
        </w:rPr>
        <w:t>Distribution of Agriculture Inputs</w:t>
      </w:r>
      <w:r>
        <w:rPr>
          <w:rFonts w:cstheme="minorHAnsi"/>
        </w:rPr>
        <w:tab/>
      </w:r>
      <w:r>
        <w:rPr>
          <w:rFonts w:cstheme="minorHAnsi"/>
        </w:rPr>
        <w:tab/>
      </w:r>
      <w:r>
        <w:rPr>
          <w:rFonts w:cstheme="minorHAnsi"/>
        </w:rPr>
        <w:tab/>
      </w:r>
      <w:r>
        <w:rPr>
          <w:rFonts w:cstheme="minorHAnsi"/>
        </w:rPr>
        <w:tab/>
      </w:r>
      <w:r>
        <w:rPr>
          <w:rFonts w:eastAsia="Arial" w:cstheme="minorHAnsi"/>
        </w:rPr>
        <w:t>- September 2025</w:t>
      </w:r>
    </w:p>
    <w:p w14:paraId="64CB532F">
      <w:pPr>
        <w:numPr>
          <w:ilvl w:val="0"/>
          <w:numId w:val="12"/>
        </w:numPr>
        <w:spacing w:line="276" w:lineRule="auto"/>
        <w:rPr>
          <w:rFonts w:eastAsia="Arial" w:cstheme="minorHAnsi"/>
        </w:rPr>
      </w:pPr>
      <w:r>
        <w:rPr>
          <w:rFonts w:eastAsia="Arial" w:cstheme="minorHAnsi"/>
        </w:rPr>
        <w:t>Training for Health Workers on IMAM, MICYN, and WASH</w:t>
      </w:r>
      <w:r>
        <w:rPr>
          <w:rFonts w:cstheme="minorHAnsi"/>
        </w:rPr>
        <w:tab/>
      </w:r>
      <w:r>
        <w:rPr>
          <w:rFonts w:eastAsia="Arial" w:cstheme="minorHAnsi"/>
        </w:rPr>
        <w:t>- September 2025</w:t>
      </w:r>
    </w:p>
    <w:p w14:paraId="42CCD11B">
      <w:pPr>
        <w:numPr>
          <w:ilvl w:val="0"/>
          <w:numId w:val="12"/>
        </w:numPr>
        <w:spacing w:line="276" w:lineRule="auto"/>
        <w:rPr>
          <w:rFonts w:eastAsia="Arial" w:cstheme="minorHAnsi"/>
          <w:lang w:val="en-GB"/>
        </w:rPr>
      </w:pPr>
      <w:r>
        <w:rPr>
          <w:rFonts w:eastAsia="Arial" w:cstheme="minorHAnsi"/>
          <w:lang w:val="en-GB"/>
        </w:rPr>
        <w:t>Training for Model Moms on Home gardening techniques</w:t>
      </w:r>
      <w:r>
        <w:rPr>
          <w:rFonts w:cstheme="minorHAnsi"/>
        </w:rPr>
        <w:tab/>
      </w:r>
      <w:r>
        <w:rPr>
          <w:rFonts w:eastAsia="Arial" w:cstheme="minorHAnsi"/>
          <w:lang w:val="en-GB"/>
        </w:rPr>
        <w:t>- September 2025</w:t>
      </w:r>
    </w:p>
    <w:p w14:paraId="103A97C6">
      <w:pPr>
        <w:numPr>
          <w:ilvl w:val="0"/>
          <w:numId w:val="12"/>
        </w:numPr>
        <w:spacing w:line="276" w:lineRule="auto"/>
        <w:rPr>
          <w:rFonts w:eastAsia="Arial" w:cstheme="minorHAnsi"/>
          <w:lang w:val="en-GB"/>
        </w:rPr>
      </w:pPr>
      <w:r>
        <w:rPr>
          <w:rFonts w:eastAsia="Arial" w:cstheme="minorHAnsi"/>
        </w:rPr>
        <w:t>Training of Model Moms on MICYN and Food Demonstration- September 2025</w:t>
      </w:r>
      <w:r>
        <w:rPr>
          <w:rFonts w:cstheme="minorHAnsi"/>
        </w:rPr>
        <w:tab/>
      </w:r>
      <w:r>
        <w:rPr>
          <w:rFonts w:cstheme="minorHAnsi"/>
        </w:rPr>
        <w:tab/>
      </w:r>
      <w:r>
        <w:rPr>
          <w:rFonts w:cstheme="minorHAnsi"/>
        </w:rPr>
        <w:tab/>
      </w:r>
      <w:r>
        <w:rPr>
          <w:rFonts w:cstheme="minorHAnsi"/>
        </w:rPr>
        <w:tab/>
      </w:r>
    </w:p>
    <w:p w14:paraId="19187E36">
      <w:pPr>
        <w:numPr>
          <w:ilvl w:val="0"/>
          <w:numId w:val="12"/>
        </w:numPr>
        <w:spacing w:line="276" w:lineRule="auto"/>
        <w:rPr>
          <w:rFonts w:eastAsia="Arial" w:cstheme="minorHAnsi"/>
          <w:lang w:val="en-GB"/>
        </w:rPr>
      </w:pPr>
      <w:r>
        <w:rPr>
          <w:rFonts w:eastAsia="Arial" w:cstheme="minorHAnsi"/>
          <w:lang w:val="en-GB"/>
        </w:rPr>
        <w:t>State-Level Training on Multiple Micronutrient Supplementation- September 2025</w:t>
      </w:r>
    </w:p>
    <w:p w14:paraId="5F8D181D">
      <w:pPr>
        <w:numPr>
          <w:ilvl w:val="0"/>
          <w:numId w:val="12"/>
        </w:numPr>
        <w:spacing w:line="276" w:lineRule="auto"/>
        <w:rPr>
          <w:rFonts w:eastAsia="Arial" w:cstheme="minorHAnsi"/>
          <w:lang w:val="en-GB"/>
        </w:rPr>
      </w:pPr>
      <w:r>
        <w:rPr>
          <w:rFonts w:eastAsia="Arial" w:cstheme="minorHAnsi"/>
          <w:lang w:val="en-GB"/>
        </w:rPr>
        <w:t>Two-Day LGA Level Multiple Micronutrient Supplementation Training-</w:t>
      </w:r>
    </w:p>
    <w:p w14:paraId="1FB4627B">
      <w:pPr>
        <w:spacing w:line="276" w:lineRule="auto"/>
        <w:ind w:left="720"/>
        <w:rPr>
          <w:rFonts w:eastAsia="Arial" w:cstheme="minorHAnsi"/>
          <w:lang w:val="en-GB"/>
        </w:rPr>
      </w:pPr>
      <w:r>
        <w:rPr>
          <w:rFonts w:eastAsia="Arial" w:cstheme="minorHAnsi"/>
          <w:lang w:val="en-GB"/>
        </w:rPr>
        <w:t>September 2025</w:t>
      </w:r>
    </w:p>
    <w:p w14:paraId="7ABF96B0">
      <w:pPr>
        <w:pStyle w:val="24"/>
        <w:numPr>
          <w:ilvl w:val="0"/>
          <w:numId w:val="13"/>
        </w:numPr>
        <w:spacing w:line="276" w:lineRule="auto"/>
        <w:rPr>
          <w:rFonts w:eastAsia="Arial" w:cstheme="minorHAnsi"/>
        </w:rPr>
      </w:pPr>
      <w:r>
        <w:rPr>
          <w:rFonts w:cstheme="minorHAnsi"/>
          <w:lang w:val="en-GB"/>
        </w:rPr>
        <w:t>Monthly Support Group Meetings</w:t>
      </w:r>
      <w:r>
        <w:rPr>
          <w:rFonts w:cstheme="minorHAnsi"/>
        </w:rPr>
        <w:tab/>
      </w:r>
      <w:r>
        <w:rPr>
          <w:rFonts w:cstheme="minorHAnsi"/>
        </w:rPr>
        <w:tab/>
      </w:r>
      <w:r>
        <w:rPr>
          <w:rFonts w:cstheme="minorHAnsi"/>
        </w:rPr>
        <w:tab/>
      </w:r>
      <w:r>
        <w:rPr>
          <w:rFonts w:cstheme="minorHAnsi"/>
        </w:rPr>
        <w:tab/>
      </w:r>
      <w:r>
        <w:rPr>
          <w:rFonts w:cstheme="minorHAnsi"/>
          <w:lang w:val="en-GB"/>
        </w:rPr>
        <w:t>-July-September 2025</w:t>
      </w:r>
    </w:p>
    <w:p w14:paraId="5BAEA89E">
      <w:pPr>
        <w:numPr>
          <w:ilvl w:val="0"/>
          <w:numId w:val="13"/>
        </w:numPr>
        <w:spacing w:line="276" w:lineRule="auto"/>
        <w:rPr>
          <w:rFonts w:cstheme="minorHAnsi"/>
        </w:rPr>
      </w:pPr>
      <w:r>
        <w:rPr>
          <w:rFonts w:eastAsia="Arial" w:cstheme="minorHAnsi"/>
          <w:lang w:val="en-GB"/>
        </w:rPr>
        <w:t>Multiple micronutrient supplementation (MMS)</w:t>
      </w:r>
      <w:r>
        <w:rPr>
          <w:rFonts w:cstheme="minorHAnsi"/>
        </w:rPr>
        <w:tab/>
      </w:r>
      <w:r>
        <w:rPr>
          <w:rFonts w:cstheme="minorHAnsi"/>
        </w:rPr>
        <w:t xml:space="preserve">           - July- September 2025  </w:t>
      </w:r>
    </w:p>
    <w:p w14:paraId="7443F8D8">
      <w:pPr>
        <w:numPr>
          <w:ilvl w:val="0"/>
          <w:numId w:val="14"/>
        </w:numPr>
        <w:spacing w:line="276" w:lineRule="auto"/>
        <w:rPr>
          <w:rFonts w:cstheme="minorHAnsi"/>
        </w:rPr>
      </w:pPr>
      <w:r>
        <w:rPr>
          <w:rFonts w:cstheme="minorHAnsi"/>
        </w:rPr>
        <w:t>LGA data validation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July - September 2025</w:t>
      </w:r>
      <w:r>
        <w:rPr>
          <w:rFonts w:cstheme="minorHAnsi"/>
        </w:rPr>
        <w:tab/>
      </w:r>
      <w:r>
        <w:rPr>
          <w:rFonts w:cstheme="minorHAnsi"/>
        </w:rPr>
        <w:tab/>
      </w:r>
    </w:p>
    <w:p w14:paraId="7FC47BB3">
      <w:pPr>
        <w:spacing w:line="276" w:lineRule="auto"/>
        <w:rPr>
          <w:rFonts w:cstheme="minorHAnsi"/>
        </w:rPr>
      </w:pPr>
      <w:r>
        <w:rPr>
          <w:rFonts w:cstheme="minorHAnsi"/>
          <w:b/>
          <w:lang w:val="en-GB"/>
        </w:rPr>
        <w:t>VITAMIN A SUPPLEMENTATION:</w:t>
      </w:r>
      <w:r>
        <w:rPr>
          <w:rFonts w:cstheme="minorHAnsi"/>
        </w:rPr>
        <w:t>  </w:t>
      </w:r>
    </w:p>
    <w:p w14:paraId="4AC96E6E">
      <w:pPr>
        <w:numPr>
          <w:ilvl w:val="0"/>
          <w:numId w:val="15"/>
        </w:numPr>
        <w:spacing w:line="276" w:lineRule="auto"/>
        <w:rPr>
          <w:rFonts w:cstheme="minorHAnsi"/>
        </w:rPr>
      </w:pPr>
      <w:r>
        <w:rPr>
          <w:rFonts w:cstheme="minorHAnsi"/>
        </w:rPr>
        <w:t xml:space="preserve">Submission of post-event coverage survey, ethical approval, and Evaluation protocol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xml:space="preserve">- July 2025   </w:t>
      </w:r>
    </w:p>
    <w:p w14:paraId="397FCC50">
      <w:pPr>
        <w:numPr>
          <w:ilvl w:val="0"/>
          <w:numId w:val="15"/>
        </w:numPr>
        <w:spacing w:line="276" w:lineRule="auto"/>
        <w:rPr>
          <w:rFonts w:cstheme="minorHAnsi"/>
        </w:rPr>
      </w:pPr>
      <w:bookmarkStart w:id="0" w:name="_Hlk211412502"/>
      <w:r>
        <w:rPr>
          <w:rFonts w:cstheme="minorHAnsi"/>
        </w:rPr>
        <w:t xml:space="preserve">Post-event coverage survey (PECS) </w:t>
      </w:r>
      <w:bookmarkEnd w:id="0"/>
      <w:r>
        <w:rPr>
          <w:rFonts w:cstheme="minorHAnsi"/>
        </w:rPr>
        <w:t xml:space="preserve">enumerators training           </w:t>
      </w:r>
      <w:r>
        <w:rPr>
          <w:rFonts w:cstheme="minorHAnsi"/>
        </w:rPr>
        <w:tab/>
      </w:r>
      <w:r>
        <w:rPr>
          <w:rFonts w:cstheme="minorHAnsi"/>
        </w:rPr>
        <w:t>- July 2025</w:t>
      </w:r>
    </w:p>
    <w:p w14:paraId="01EBD3F9">
      <w:pPr>
        <w:numPr>
          <w:ilvl w:val="0"/>
          <w:numId w:val="15"/>
        </w:numPr>
        <w:spacing w:line="276" w:lineRule="auto"/>
        <w:rPr>
          <w:rFonts w:cstheme="minorHAnsi"/>
        </w:rPr>
      </w:pPr>
      <w:r>
        <w:rPr>
          <w:rFonts w:cstheme="minorHAnsi"/>
        </w:rPr>
        <w:t xml:space="preserve">Capacity building for PECS,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July 2025</w:t>
      </w:r>
    </w:p>
    <w:p w14:paraId="529BDA40">
      <w:pPr>
        <w:numPr>
          <w:ilvl w:val="0"/>
          <w:numId w:val="15"/>
        </w:numPr>
        <w:spacing w:line="276" w:lineRule="auto"/>
        <w:rPr>
          <w:rFonts w:cstheme="minorHAnsi"/>
        </w:rPr>
      </w:pPr>
      <w:r>
        <w:rPr>
          <w:rFonts w:cstheme="minorHAnsi"/>
        </w:rPr>
        <w:t>Post-event coverage survey data collection                             July – August 2025</w:t>
      </w:r>
    </w:p>
    <w:p w14:paraId="7194E6EB">
      <w:pPr>
        <w:spacing w:line="276" w:lineRule="auto"/>
        <w:rPr>
          <w:rFonts w:cstheme="minorHAnsi"/>
          <w:b/>
          <w:u w:val="single"/>
          <w:lang w:val="en-GB"/>
        </w:rPr>
      </w:pPr>
    </w:p>
    <w:p w14:paraId="0971B423">
      <w:pPr>
        <w:spacing w:line="276" w:lineRule="auto"/>
        <w:rPr>
          <w:rFonts w:cstheme="minorHAnsi"/>
        </w:rPr>
      </w:pPr>
      <w:r>
        <w:rPr>
          <w:rFonts w:cstheme="minorHAnsi"/>
          <w:b/>
          <w:u w:val="single"/>
          <w:lang w:val="en-GB"/>
        </w:rPr>
        <w:t>ACHIEVEMENT MADE TOWARDS THESE TARGETS</w:t>
      </w:r>
      <w:r>
        <w:rPr>
          <w:rFonts w:cstheme="minorHAnsi"/>
          <w:b/>
          <w:lang w:val="en-GB"/>
        </w:rPr>
        <w:t>:</w:t>
      </w:r>
      <w:r>
        <w:rPr>
          <w:rFonts w:cstheme="minorHAnsi"/>
        </w:rPr>
        <w:t>  </w:t>
      </w:r>
    </w:p>
    <w:p w14:paraId="4D477D37">
      <w:pPr>
        <w:spacing w:line="276" w:lineRule="auto"/>
        <w:rPr>
          <w:rFonts w:cstheme="minorHAnsi"/>
          <w:u w:val="single"/>
        </w:rPr>
      </w:pPr>
    </w:p>
    <w:p w14:paraId="02C4F357">
      <w:pPr>
        <w:spacing w:line="276" w:lineRule="auto"/>
        <w:rPr>
          <w:rFonts w:cstheme="minorHAnsi"/>
          <w:b/>
          <w:bCs/>
          <w:u w:val="single"/>
        </w:rPr>
      </w:pPr>
      <w:r>
        <w:rPr>
          <w:rFonts w:cstheme="minorHAnsi"/>
          <w:b/>
          <w:bCs/>
          <w:u w:val="single"/>
        </w:rPr>
        <w:t xml:space="preserve">Give Well Schistosomiasis 2025 Micro-Planning workshop. </w:t>
      </w:r>
    </w:p>
    <w:p w14:paraId="1E40B608">
      <w:pPr>
        <w:spacing w:line="276" w:lineRule="auto"/>
        <w:jc w:val="both"/>
        <w:rPr>
          <w:rFonts w:eastAsia="Arial" w:cstheme="minorHAnsi"/>
          <w:b/>
          <w:bCs/>
          <w:u w:val="single"/>
        </w:rPr>
      </w:pPr>
    </w:p>
    <w:p w14:paraId="25FEEFB9">
      <w:pPr>
        <w:spacing w:line="276" w:lineRule="auto"/>
        <w:jc w:val="both"/>
        <w:rPr>
          <w:rFonts w:cstheme="minorHAnsi"/>
        </w:rPr>
      </w:pPr>
      <w:r>
        <w:rPr>
          <w:rFonts w:cstheme="minorHAnsi"/>
          <w:b/>
          <w:bCs/>
          <w:u w:val="single"/>
        </w:rPr>
        <w:t>Adamawa State Schistosomiasis 2025 Micro-Planning and workshop</w:t>
      </w:r>
      <w:r>
        <w:rPr>
          <w:rFonts w:cstheme="minorHAnsi"/>
          <w:b/>
          <w:bCs/>
        </w:rPr>
        <w:t>:</w:t>
      </w:r>
      <w:r>
        <w:rPr>
          <w:rFonts w:cstheme="minorHAnsi"/>
        </w:rPr>
        <w:t xml:space="preserve"> </w:t>
      </w:r>
    </w:p>
    <w:p w14:paraId="05E93AE1">
      <w:pPr>
        <w:spacing w:line="276" w:lineRule="auto"/>
        <w:jc w:val="both"/>
        <w:rPr>
          <w:rFonts w:cstheme="minorHAnsi"/>
        </w:rPr>
      </w:pPr>
      <w:r>
        <w:rPr>
          <w:rFonts w:cstheme="minorHAnsi"/>
        </w:rPr>
        <w:t xml:space="preserve">To strengthen the capacity of state NTD teams, </w:t>
      </w:r>
      <w:r>
        <w:rPr>
          <w:rFonts w:eastAsia="Arial" w:cstheme="minorHAnsi"/>
          <w:color w:val="1F1F1F"/>
        </w:rPr>
        <w:t xml:space="preserve">Sightsavers, </w:t>
      </w:r>
      <w:r>
        <w:rPr>
          <w:rFonts w:cstheme="minorHAnsi"/>
        </w:rPr>
        <w:t>in collaboration with Helen Keller Intl and the Federal Ministry of Health, convened a two-day planning meeting that brought together thirteen states, including Adamawa. The meeting addressed critical gaps identified in the 2024 coverage evaluation survey for schistosomiasis and soil-transmitted helminthiasis programs. Adamawa State's NTD Coordinator and Data Manager actively participated and had their capacity strengthened in several crucial areas, including stakeholder engagement and mapping for micro-planning, the bottom-up approach process, and the medicine requisition process. Through breakout sessions and hands-on demonstrations alongside colleagues from other states, the teams learned how to develop more inclusive micro-plans that consider gender, equity, and local epidemiological realities. They also gained practical skills in using digital supervision tools and real-time monitoring systems that would help them spot and solve problems quickly during upcoming treatment rounds.</w:t>
      </w:r>
    </w:p>
    <w:p w14:paraId="1A67F3BE">
      <w:pPr>
        <w:spacing w:line="276" w:lineRule="auto"/>
        <w:jc w:val="both"/>
        <w:rPr>
          <w:rFonts w:cstheme="minorHAnsi"/>
        </w:rPr>
      </w:pPr>
      <w:r>
        <w:rPr>
          <w:rFonts w:cstheme="minorHAnsi"/>
        </w:rPr>
        <w:t>The meeting produced tangible results that will directly enhance program delivery in Adamawa and other participating states. Each state left with an updated micro-plan template that better aligns with their communities' needs, and coordinators now possess practical skills in supervision and rapid response protocols. The Adamawa team, along with other states, has committed specific actions, including improving drug supply tracking, engaging communities before campaigns begin, and collaborating more closely with local authorities. This capacity building ensures that Adamawa State staff possess the ownership and technical skills necessary for sustainable program implementation. The strengthened partnership among federal, state, and implementing organizations fosters a shared commitment to reach more people with treatment and to move closer to eliminating these neglected tropical diseases in Nigeria.</w:t>
      </w:r>
    </w:p>
    <w:p w14:paraId="7F84F774">
      <w:pPr>
        <w:spacing w:line="276" w:lineRule="auto"/>
        <w:rPr>
          <w:rFonts w:cstheme="minorHAnsi"/>
          <w:b/>
          <w:bCs/>
          <w:u w:val="single"/>
        </w:rPr>
      </w:pPr>
    </w:p>
    <w:p w14:paraId="2F9F4EAE">
      <w:pPr>
        <w:spacing w:line="276" w:lineRule="auto"/>
        <w:rPr>
          <w:rFonts w:cstheme="minorHAnsi"/>
          <w:u w:val="single"/>
        </w:rPr>
      </w:pPr>
      <w:r>
        <w:rPr>
          <w:rFonts w:cstheme="minorHAnsi"/>
          <w:b/>
          <w:bCs/>
          <w:u w:val="single"/>
        </w:rPr>
        <w:t xml:space="preserve">Reaching the Last Mile </w:t>
      </w:r>
      <w:r>
        <w:rPr>
          <w:rFonts w:cstheme="minorHAnsi"/>
          <w:u w:val="single"/>
        </w:rPr>
        <w:t xml:space="preserve"> </w:t>
      </w:r>
    </w:p>
    <w:p w14:paraId="1C8B02CD">
      <w:pPr>
        <w:spacing w:line="276" w:lineRule="auto"/>
        <w:jc w:val="both"/>
        <w:rPr>
          <w:rFonts w:cstheme="minorHAnsi"/>
        </w:rPr>
      </w:pPr>
      <w:r>
        <w:rPr>
          <w:rFonts w:cstheme="minorHAnsi"/>
          <w:b/>
          <w:bCs/>
        </w:rPr>
        <w:t xml:space="preserve">Training Laboratory scientist on FTS and QFAT:  </w:t>
      </w:r>
    </w:p>
    <w:p w14:paraId="42A47CFC">
      <w:pPr>
        <w:spacing w:line="276" w:lineRule="auto"/>
        <w:jc w:val="both"/>
        <w:rPr>
          <w:rFonts w:cstheme="minorHAnsi"/>
        </w:rPr>
      </w:pPr>
      <w:r>
        <w:rPr>
          <w:rFonts w:cstheme="minorHAnsi"/>
        </w:rPr>
        <w:t>The Federal Ministry of Health and Social Welfare, with technical support from Sightsavers and Helen Keller Intl, organized a three-day training workshop on blood sample collection for Onchocerciasis and Lymphatic Filariasis surveys in Kaduna State from August 12-14, 2025. This capacity-building initiative brought together laboratory scientists and NTD coordinators from 13 implementing states to enhance their technical expertise in generating high-quality survey data. Adamawa State participated with five laboratory scientists and a representative of the State NTD Coordinator. The comprehensive training combined classroom sessions with hands-on practical demonstrations, equipping participants with essential skills in finger-prick blood collection, use of diagnostic tools like Filariasis Test Strips (FTS) and Quality Filariasis Antigen Test (QFAT), preparation and staining of thick blood smear slides, identification of microfilariae species, and proper sample storage and transportation. Participants also learned about the newly renamed Epidemiological Monitoring Survey (formerly known as Pre-TAS) and the quality assurance mechanisms for maintaining data integrity.</w:t>
      </w:r>
    </w:p>
    <w:p w14:paraId="75580960">
      <w:pPr>
        <w:spacing w:line="276" w:lineRule="auto"/>
        <w:jc w:val="both"/>
        <w:rPr>
          <w:rFonts w:cstheme="minorHAnsi"/>
        </w:rPr>
      </w:pPr>
      <w:r>
        <w:rPr>
          <w:rFonts w:cstheme="minorHAnsi"/>
        </w:rPr>
        <w:t>The training achieved significant results, with all Adamawa State laboratory scientists completing the program and receiving Federal Ministry of Health-certified certificates, officially recognizing them as certified lab scientists for future surveys in the state. This certification creates a sustainable pool of qualified professionals who can support ongoing and future OV and LF survey implementation. The standardized training approach ensures uniformity across all participating states, while the practical competence gained through hands-on sessions has improved accuracy and reduced potential error margins in field applications. Moving forward, these certified laboratory scientists from Adamawa will conduct cascade training at the state level and provide mentorship during field surveys, ensuring the sustainability of quality survey implementation and contributing to Nigeria's goal of eliminating Onchocerciasis and Lymphatic Filariasis as public health problems.</w:t>
      </w:r>
    </w:p>
    <w:p w14:paraId="28E441F6">
      <w:pPr>
        <w:spacing w:line="276" w:lineRule="auto"/>
        <w:jc w:val="both"/>
        <w:rPr>
          <w:rFonts w:cstheme="minorHAnsi"/>
          <w:b/>
          <w:bCs/>
          <w:u w:val="single"/>
        </w:rPr>
      </w:pPr>
      <w:r>
        <w:rPr>
          <w:rFonts w:cstheme="minorHAnsi"/>
          <w:b/>
          <w:bCs/>
          <w:u w:val="single"/>
        </w:rPr>
        <w:t xml:space="preserve">Hydrocele Planning Meeting: </w:t>
      </w:r>
    </w:p>
    <w:p w14:paraId="285D5769">
      <w:pPr>
        <w:spacing w:line="276" w:lineRule="auto"/>
        <w:jc w:val="both"/>
        <w:rPr>
          <w:rFonts w:cstheme="minorHAnsi"/>
        </w:rPr>
      </w:pPr>
      <w:r>
        <w:rPr>
          <w:rFonts w:cstheme="minorHAnsi"/>
        </w:rPr>
        <w:t>The Adamawa State Ministry of Health and Human Services, with technical support from Helen Keller International, successfully mobilized key stakeholders and secured essential commitments for the upcoming Hydrocele Surgery intervention on August 20, 2025, as part of the Lymphatic Filariasis Morbidity Management and Disability Prevention program. The meeting brought together government agencies, traditional leaders, and community representatives to collectively review and approve a comprehensive work plan for hydrocele surgery, with clearly defined roles, responsibilities, and timelines for all stakeholders. This adopted work plan builds on lessons learned from the previous year's implementation, including targets and strategies to improve surgical outcomes across affected Local Government Areas. The collaborative approach ensured strong state ownership, with stakeholders demonstrating active commitment to lead the intervention, while partners provided technical support.</w:t>
      </w:r>
    </w:p>
    <w:p w14:paraId="433885A9">
      <w:pPr>
        <w:spacing w:line="276" w:lineRule="auto"/>
        <w:jc w:val="both"/>
        <w:rPr>
          <w:rFonts w:cstheme="minorHAnsi"/>
        </w:rPr>
      </w:pPr>
      <w:r>
        <w:rPr>
          <w:rFonts w:cstheme="minorHAnsi"/>
        </w:rPr>
        <w:t>The meeting resulted in specific commitments that will directly enhance intervention delivery and sustainability. Traditional leaders from participating LGAs pledged their active involvement in community mobilization, sensitization, and patient follow-up, ensuring local ownership at the grassroots level. Tongo and Ganye LGAs agreed to provide accommodation and food for surgeons during the hydrocele camp outreach, addressing critical logistical needs. The Ministry of Information is committed to spreading information through radio jingles to reach and inform a broader community audience. These concrete commitments, along with the adopted work plan and increased collaboration among government, partners, and communities, position Adamawa State to effectively address hydrocele-related health issues and make progress toward eliminating Lymphatic Filariasis as a public health concern in the state.</w:t>
      </w:r>
    </w:p>
    <w:p w14:paraId="493A0B8A">
      <w:pPr>
        <w:spacing w:line="276" w:lineRule="auto"/>
        <w:jc w:val="both"/>
        <w:rPr>
          <w:rFonts w:eastAsia="Arial (Body)" w:cstheme="minorHAnsi"/>
          <w:lang w:val="en-GB"/>
        </w:rPr>
      </w:pPr>
      <w:r>
        <w:rPr>
          <w:rFonts w:cstheme="minorHAnsi"/>
          <w:b/>
          <w:bCs/>
          <w:u w:val="single"/>
        </w:rPr>
        <w:t>Hydrocele Facility Assessment:</w:t>
      </w:r>
      <w:r>
        <w:rPr>
          <w:rFonts w:cstheme="minorHAnsi"/>
          <w:u w:val="single"/>
        </w:rPr>
        <w:t xml:space="preserve"> </w:t>
      </w:r>
    </w:p>
    <w:p w14:paraId="7645823F">
      <w:pPr>
        <w:spacing w:before="240" w:after="240" w:line="276" w:lineRule="auto"/>
        <w:jc w:val="both"/>
        <w:rPr>
          <w:rFonts w:eastAsia="Arial" w:cstheme="minorHAnsi"/>
        </w:rPr>
      </w:pPr>
      <w:r>
        <w:rPr>
          <w:rFonts w:eastAsia="Arial" w:cstheme="minorHAnsi"/>
        </w:rPr>
        <w:t>The Adamawa State Ministry of Health and Human Services, in collaboration with Helen Keller Intl, completed a comprehensive hydrocele facility assessment across four strategic general hospitals from August 4-6, 2025. General Hospitals in Ganye, Girie, Gombi, and Michika underwent systematic evaluation across nine critical domains, including surgical procedures and trained staff capacity, emergency patient transfer systems, infrastructure adequacy, essential medicines availability, basic equipment (both disposable and non-disposable), patient tracking systems, current hydrocele surgery practice, infection prevention protocols, and laboratory capacity. The assessment results showed strong performance across all four facilities, with General Hospital Ganye achieving the highest score of 104 out of 105 points, followed closely by General Hospital Girie with 103 points, General Hospital Gombi with 103 points, and General Hospital Michika with 102 points. These high scores indicate that all four facilities demonstrate substantial readiness to conduct hydrocele surgical interventions as part of Nigeria's Lymphatic Filariasis Morbidity Management and Disability Prevention program.</w:t>
      </w:r>
    </w:p>
    <w:p w14:paraId="7A8FBC9C">
      <w:pPr>
        <w:spacing w:before="240" w:after="240" w:line="276" w:lineRule="auto"/>
        <w:jc w:val="both"/>
        <w:rPr>
          <w:rFonts w:eastAsia="Arial" w:cstheme="minorHAnsi"/>
        </w:rPr>
      </w:pPr>
      <w:r>
        <w:rPr>
          <w:rFonts w:eastAsia="Arial" w:cstheme="minorHAnsi"/>
        </w:rPr>
        <w:t>The outstanding assessment results place Adamawa State in a position to utilize multiple high-capacity facilities for immediate hydrocele surgical procedures. All four hospitals demonstrated consistent strength across key areas, particularly in basic equipment availability (scoring 28-29 points for both disposable and non-disposable equipment), infection prevention protocols (all scoring 11 points), and laboratory capacity (all scoring 6 points). The small gaps identified mainly in essential medicines, with scores ranging from 13 to 14 points, and patient tracking systems, where all facilities scored 2 points, provide clear, achievable goals for final preparations. These facility-specific findings support strategic resource allocation aimed at enhancing patient tracking systems and ensuring sufficient stocks of essential medicines. With four well-equipped facilities scoring above 97% readiness, Adamawa State is well-positioned to provide quality hydrocele surgical services, reduce the disease burden among affected populations, and advance Nigeria's efforts to eliminate Lymphatic Filariasis as a public health issue.</w:t>
      </w:r>
    </w:p>
    <w:p w14:paraId="75E8CC52">
      <w:pPr>
        <w:spacing w:before="240" w:after="240" w:line="276" w:lineRule="auto"/>
        <w:jc w:val="both"/>
        <w:rPr>
          <w:rFonts w:eastAsia="Arial" w:cstheme="minorHAnsi"/>
          <w:b/>
          <w:bCs/>
          <w:u w:val="single"/>
        </w:rPr>
      </w:pPr>
      <w:r>
        <w:rPr>
          <w:rFonts w:eastAsia="Arial" w:cstheme="minorHAnsi"/>
          <w:b/>
          <w:bCs/>
          <w:u w:val="single"/>
        </w:rPr>
        <w:t>Hydrocele Tracker Training:</w:t>
      </w:r>
    </w:p>
    <w:p w14:paraId="6A59117B">
      <w:pPr>
        <w:spacing w:before="240" w:after="240" w:line="276" w:lineRule="auto"/>
        <w:jc w:val="both"/>
        <w:rPr>
          <w:rFonts w:eastAsia="Arial" w:cstheme="minorHAnsi"/>
        </w:rPr>
      </w:pPr>
      <w:r>
        <w:rPr>
          <w:rFonts w:eastAsia="Arial" w:cstheme="minorHAnsi"/>
        </w:rPr>
        <w:t>The Adamawa State Ministry of Health and Human Services, in collaboration with Helen Keller Intl, successfully trained 18 healthcare personnel on the Hydrocele Tracker system on September 5, 2025, addressing critical gaps in post-operative monitoring and patient outcome tracking for the state's Lymphatic Filariasis Morbidity Management and Disability Prevention program. The digital tracker was introduced to overcome longstanding challenges in resource-limited settings, where incomplete data on surgical success rates, complications, and the impact of treatment on patients' quality of life have hindered effective program management and the measurement of socio-economic outcomes. The training brought together a diverse team, including three surgeons, five nurses, five medical records staff, three state-level coordinators, and two LGA representatives (13 males and 5 females), who gained comprehensive skills in using this innovative tool that makes patient data accessible, accurate, and actionable throughout the entire care process. Participants developed a clear understanding of the tracker's features, including patient registration and demographic updates, preoperative documentation and informed consent procedures, surgical procedure details and duration tracking, and multiple follow-up schedules spanning from Day 1 to 9 through 3-month assessments. Each stakeholder group knows its specific roles: surgeons focus on pre-operative assessments and surgical documentation, nurses manage post-operative care and follow-up modules, medical records staff ensure data accuracy and generate reports, and LGA coordinators support patient retention and program sustainability.</w:t>
      </w:r>
    </w:p>
    <w:p w14:paraId="3A7C9BF7">
      <w:pPr>
        <w:spacing w:before="240" w:after="240" w:line="276" w:lineRule="auto"/>
        <w:jc w:val="both"/>
        <w:rPr>
          <w:rFonts w:cstheme="minorHAnsi"/>
        </w:rPr>
      </w:pPr>
      <w:r>
        <w:rPr>
          <w:rFonts w:eastAsia="Arial" w:cstheme="minorHAnsi"/>
        </w:rPr>
        <w:t>The training produced tangible results that will directly improve hydrocele surgery monitoring and patient outcomes across Adamawa State. All 18 participants successfully moved from theoretical knowledge to practical skills through hands-on sessions where they navigated the tracker interface, performed real data entries, and addressed common technical issues. These trained healthcare workers are now ready to serve as facility champions, leading the implementation of trackers across all five surgical camps and providing ongoing peer support during deployment. The strong commitment shown by participants was evident in their practical recommendations for success, including setting up regular refresher training, holding monthly progress review meetings, and integrating the tracker with existing health information systems. With this trained workforce, Adamawa State can now systematically collect data on both clinical and socio-economic outcomes from hydrocele surgeries. This will enable continuous, data-driven improvements in care and offer solid evidence of how surgical interventions restore patients' dignity, boost economic productivity, and reduce stigmatization, while supporting Nigeria's efforts to eliminate Lymphatic Filariasis.</w:t>
      </w:r>
    </w:p>
    <w:p w14:paraId="71AC3B06">
      <w:pPr>
        <w:spacing w:before="240" w:after="240" w:line="276" w:lineRule="auto"/>
        <w:jc w:val="both"/>
        <w:rPr>
          <w:rFonts w:cstheme="minorHAnsi"/>
          <w:b/>
          <w:bCs/>
          <w:u w:val="single"/>
        </w:rPr>
      </w:pPr>
      <w:r>
        <w:rPr>
          <w:rFonts w:cstheme="minorHAnsi"/>
          <w:b/>
          <w:bCs/>
          <w:u w:val="single"/>
        </w:rPr>
        <w:t>Hydrocele Camp Surgeries:</w:t>
      </w:r>
    </w:p>
    <w:p w14:paraId="21509716">
      <w:pPr>
        <w:spacing w:before="240" w:after="240" w:line="276" w:lineRule="auto"/>
        <w:jc w:val="both"/>
        <w:rPr>
          <w:rFonts w:eastAsia="Arial" w:cstheme="minorHAnsi"/>
        </w:rPr>
      </w:pPr>
      <w:r>
        <w:rPr>
          <w:rFonts w:eastAsia="Arial" w:cstheme="minorHAnsi"/>
        </w:rPr>
        <w:t>The Adamawa State Ministry of Health Human Services, with technical support from Helen Keller Intl, completed a comprehensive hydrocele surgical intervention in September 2025, achieving remarkable outcomes across three strategic healthcare facilities. A total of 136 hydrocelectomies were performed, achieving a 100% completion rate and zero mortality. The surgeries were conducted at Michika General Hospital (37), Gombi Cottage Hospital (59), and Girei Hospital (40). The program mobilized 173 hydrocele patients from 12 Local Government Areas, with the highest patient referrals coming from Gombi LGA (70 patients referred, 55 operated), followed by Michika LGA (27 patients referred, 23 operated), and Song LGA (17 patients referred, 14 operated). All surgeries adhered to standardized protocols, including comprehensive pre-operative screening, laboratory investigations, uniform surgical techniques, and mandatory 24-hour post-operative observation. The program maintained rigorous quality assurance through continuous oversight by a national surgical consultant and complete documentation using hardcopy trackers and patient folders. Post-operative follow-up demonstrated exceptional patient retention, with a 100% completion rate for Day 1-9 follow-up across all 136 patients and extended monitoring of 20 patients from Michika General Hospital through Day 10-14, where post-operative infections were promptly identified and successfully treated.</w:t>
      </w:r>
    </w:p>
    <w:p w14:paraId="77B2B63D">
      <w:pPr>
        <w:spacing w:before="240" w:after="240" w:line="276" w:lineRule="auto"/>
        <w:jc w:val="both"/>
        <w:rPr>
          <w:rFonts w:cstheme="minorHAnsi"/>
        </w:rPr>
      </w:pPr>
      <w:r>
        <w:rPr>
          <w:rFonts w:eastAsia="Arial" w:cstheme="minorHAnsi"/>
        </w:rPr>
        <w:t>The surgical intervention significantly reduced morbidity while demonstrating that high-quality hydrocele surgery is feasible in resource-limited settings across Adamawa State. The extensive patient mobilization across 12 LGAs, including Gombi, Girei, Hong, Yola South, Yola North, Song, Fufore, Michika, Madagali, Mubi North, Mubi South, and Maiha, reflects strong community engagement and effective referral systems, with surgical conversion rates ranging from 29% in Fufore LGA to 79% in Girei LGA. The standardized surgical protocols, systematic post-operative monitoring, and comprehensive follow-up mechanisms established during this campaign have created a sustainable framework for ongoing MMDP service delivery. By successfully operating on 136 men with this stigmatizing condition, the program has directly restored patients' dignity, improved their potential for economic productivity, and reduced social isolation, while strengthening Adamawa State's capacity to deliver the Essential Package of Care required for Lymphatic Filariasis elimination and advancing Nigeria's commitment to addressing the chronic disability burden of neglected tropical diseases.</w:t>
      </w:r>
    </w:p>
    <w:p w14:paraId="79D327B8">
      <w:pPr>
        <w:spacing w:before="240" w:after="240" w:line="276" w:lineRule="auto"/>
        <w:jc w:val="both"/>
        <w:rPr>
          <w:rFonts w:cstheme="minorHAnsi"/>
        </w:rPr>
      </w:pPr>
      <w:r>
        <w:rPr>
          <w:rFonts w:cstheme="minorHAnsi"/>
        </w:rPr>
        <w:drawing>
          <wp:inline distT="0" distB="0" distL="0" distR="0">
            <wp:extent cx="5943600" cy="3438525"/>
            <wp:effectExtent l="0" t="0" r="0" b="0"/>
            <wp:docPr id="697905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05251" name="drawing"/>
                    <pic:cNvPicPr>
                      <a:picLocks noChangeAspect="1"/>
                    </pic:cNvPicPr>
                  </pic:nvPicPr>
                  <pic:blipFill>
                    <a:blip r:embed="rId6"/>
                    <a:stretch>
                      <a:fillRect/>
                    </a:stretch>
                  </pic:blipFill>
                  <pic:spPr>
                    <a:xfrm>
                      <a:off x="0" y="0"/>
                      <a:ext cx="5943600" cy="3438525"/>
                    </a:xfrm>
                    <a:prstGeom prst="rect">
                      <a:avLst/>
                    </a:prstGeom>
                  </pic:spPr>
                </pic:pic>
              </a:graphicData>
            </a:graphic>
          </wp:inline>
        </w:drawing>
      </w:r>
    </w:p>
    <w:p w14:paraId="3FD8BC15">
      <w:pPr>
        <w:spacing w:line="276" w:lineRule="auto"/>
        <w:rPr>
          <w:rFonts w:cstheme="minorHAnsi"/>
        </w:rPr>
      </w:pPr>
      <w:r>
        <w:rPr>
          <w:rFonts w:cstheme="minorHAnsi"/>
          <w:b/>
          <w:u w:val="single"/>
        </w:rPr>
        <w:t>Bill and Melinda Gates Foundation (Onchocerciasis Entomological Survey)</w:t>
      </w:r>
      <w:r>
        <w:rPr>
          <w:rFonts w:cstheme="minorHAnsi"/>
        </w:rPr>
        <w:t> </w:t>
      </w:r>
    </w:p>
    <w:p w14:paraId="57C11016">
      <w:pPr>
        <w:numPr>
          <w:ilvl w:val="0"/>
          <w:numId w:val="16"/>
        </w:numPr>
        <w:spacing w:line="276" w:lineRule="auto"/>
        <w:jc w:val="both"/>
        <w:rPr>
          <w:rFonts w:cstheme="minorHAnsi"/>
        </w:rPr>
      </w:pPr>
      <w:r>
        <w:rPr>
          <w:rFonts w:cstheme="minorHAnsi"/>
          <w:b/>
          <w:bCs/>
        </w:rPr>
        <w:t xml:space="preserve">Entomological Survey: </w:t>
      </w:r>
      <w:r>
        <w:rPr>
          <w:rFonts w:cstheme="minorHAnsi"/>
        </w:rPr>
        <w:t xml:space="preserve"> As part of Nigeria’s national strategy to eliminate onchocerciasis, the entomological surveillance program in Adamawa State entered a critical phase during the third quarter of 2025. From July to September, field teams intensified monitoring efforts across 33 communities in 16 LGAs, focusing on blackfly vector populations using Human Landing Catch (HLC) and Esperanza Window Trap (EWT) methods. July marked a peak in vector activity with 965 confirmed blackflies, followed by 161 in August and 395 in September, totaling 1,521 blackflies for the quarter. Toungo LGA remained the most productive, with Natride and Gidan Biri contributing most collections, reinforcing their status as priority sites for transmission risk assessment.</w:t>
      </w:r>
    </w:p>
    <w:p w14:paraId="1F6FEEBA">
      <w:pPr>
        <w:pStyle w:val="24"/>
        <w:spacing w:line="276" w:lineRule="auto"/>
        <w:jc w:val="both"/>
        <w:rPr>
          <w:rFonts w:cstheme="minorHAnsi"/>
        </w:rPr>
      </w:pPr>
      <w:r>
        <w:rPr>
          <w:rFonts w:cstheme="minorHAnsi"/>
        </w:rPr>
        <w:t>Throughout this period, rigorous data validation and laboratory sorting ensured the integrity of surveillance outputs. Of the total 4,631 flies collected during the quarter, only 1,521 were confirmed as blackflies, emphasizing the importance of specimen verification to identify Simulium species relevant to disease transmission. Field supervision teams conducted site visits to verify records, assess environmental conditions, and support community-based collectors. These efforts addressed operational challenges such as flooding, river dryness, and security constraints in Michika and Madagali, while maintaining consistent data quality across diverse ecological zones.</w:t>
      </w:r>
    </w:p>
    <w:p w14:paraId="162AEA22">
      <w:pPr>
        <w:pStyle w:val="24"/>
        <w:spacing w:line="276" w:lineRule="auto"/>
        <w:jc w:val="both"/>
        <w:rPr>
          <w:rFonts w:cstheme="minorHAnsi"/>
        </w:rPr>
      </w:pPr>
      <w:r>
        <w:rPr>
          <w:rFonts w:cstheme="minorHAnsi"/>
        </w:rPr>
        <w:t>The program’s adaptive management approach was crucial in maintaining surveillance efforts. Using two collection methods ensured continuity despite environmental disruptions, with HLC accounting for 71% and EWT for 29% of confirmed blackflies. Capacity-building included refresher training, hiring more catchers at high-yield sites, and redeployment based on performance. These measures, along with strategic oversight and community involvement, ensured the program remained responsive, resilient, and focused on producing valid data to support elimination efforts and inform future vector control strategies.</w:t>
      </w:r>
    </w:p>
    <w:p w14:paraId="1221AAEC">
      <w:pPr>
        <w:spacing w:line="276" w:lineRule="auto"/>
        <w:ind w:left="720"/>
        <w:jc w:val="both"/>
        <w:rPr>
          <w:rFonts w:cstheme="minorHAnsi"/>
        </w:rPr>
      </w:pPr>
      <w:r>
        <w:rPr>
          <w:rFonts w:cstheme="minorHAnsi"/>
        </w:rPr>
        <w:drawing>
          <wp:inline distT="0" distB="0" distL="0" distR="0">
            <wp:extent cx="5698490" cy="2468880"/>
            <wp:effectExtent l="0" t="0" r="0" b="0"/>
            <wp:docPr id="6620991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99111" name="drawing"/>
                    <pic:cNvPicPr>
                      <a:picLocks noChangeAspect="1"/>
                    </pic:cNvPicPr>
                  </pic:nvPicPr>
                  <pic:blipFill>
                    <a:blip r:embed="rId7"/>
                    <a:stretch>
                      <a:fillRect/>
                    </a:stretch>
                  </pic:blipFill>
                  <pic:spPr>
                    <a:xfrm>
                      <a:off x="0" y="0"/>
                      <a:ext cx="5698803" cy="2468884"/>
                    </a:xfrm>
                    <a:prstGeom prst="rect">
                      <a:avLst/>
                    </a:prstGeom>
                  </pic:spPr>
                </pic:pic>
              </a:graphicData>
            </a:graphic>
          </wp:inline>
        </w:drawing>
      </w:r>
    </w:p>
    <w:p w14:paraId="4D01BB53">
      <w:pPr>
        <w:spacing w:line="276" w:lineRule="auto"/>
        <w:rPr>
          <w:rFonts w:cstheme="minorHAnsi"/>
          <w:b/>
          <w:bCs/>
          <w:lang w:val="en-GB"/>
        </w:rPr>
      </w:pPr>
    </w:p>
    <w:p w14:paraId="0933EA58">
      <w:pPr>
        <w:spacing w:line="276" w:lineRule="auto"/>
        <w:rPr>
          <w:rFonts w:cstheme="minorHAnsi"/>
          <w:b/>
          <w:bCs/>
          <w:lang w:val="en-GB"/>
        </w:rPr>
      </w:pPr>
    </w:p>
    <w:p w14:paraId="6D161D6B">
      <w:pPr>
        <w:spacing w:line="276" w:lineRule="auto"/>
        <w:rPr>
          <w:rFonts w:cstheme="minorHAnsi"/>
          <w:u w:val="single"/>
        </w:rPr>
      </w:pPr>
      <w:r>
        <w:rPr>
          <w:rFonts w:cstheme="minorHAnsi"/>
          <w:b/>
          <w:u w:val="single"/>
          <w:lang w:val="en-GB"/>
        </w:rPr>
        <w:t>Improving the food security and nutrition of IDPs and non-IDPs in Fufore LGA</w:t>
      </w:r>
      <w:r>
        <w:rPr>
          <w:rFonts w:cstheme="minorHAnsi"/>
          <w:u w:val="single"/>
        </w:rPr>
        <w:t>  </w:t>
      </w:r>
    </w:p>
    <w:p w14:paraId="1DC2696A">
      <w:pPr>
        <w:spacing w:line="276" w:lineRule="auto"/>
        <w:rPr>
          <w:rFonts w:cstheme="minorHAnsi"/>
        </w:rPr>
      </w:pPr>
      <w:r>
        <w:rPr>
          <w:rFonts w:cstheme="minorHAnsi"/>
        </w:rPr>
        <w:t>  </w:t>
      </w:r>
    </w:p>
    <w:p w14:paraId="5E0E735F">
      <w:pPr>
        <w:numPr>
          <w:ilvl w:val="0"/>
          <w:numId w:val="17"/>
        </w:numPr>
        <w:spacing w:line="276" w:lineRule="auto"/>
        <w:jc w:val="both"/>
        <w:rPr>
          <w:rFonts w:eastAsiaTheme="minorEastAsia" w:cstheme="minorHAnsi"/>
        </w:rPr>
      </w:pPr>
      <w:r>
        <w:rPr>
          <w:rFonts w:eastAsiaTheme="minorEastAsia" w:cstheme="minorHAnsi"/>
        </w:rPr>
        <w:t>House-to-house mid-upper arm circumference (MUAC) screening: From July 1 to September 30, 2025, trained community health extension workers conducted MUAC screenings of children aged 6-59 months across 11 wards of Fufore LGA (Daware, Pariya, Mayo-Inne, Fufore, Gurin, Ribadu, Karlahi, Uki-Tuki, Yadim, Farang, Wuro-Bokki, and Mararaban Cigari). During this period, 8,119 children (4,093 males and 4,026 females) were screened. Following the screening, 312 children (148 males and 173 females) were identified with moderate acute malnutrition (MAM), and 320 children (156 males and 156 females) were identified with severe acute malnutrition (SAM). The cases of moderate and severe acute malnutrition have been referred to the nearest outpatient therapeutic program (OTP) centers and health facilities for treatment. Additionally, caregivers received counseling on managing acute malnutrition (SAM and MAM) cases, utilizing locally available community resources to enhance household dietary diversity.  </w:t>
      </w:r>
    </w:p>
    <w:p w14:paraId="55B7AB44">
      <w:pPr>
        <w:spacing w:line="276" w:lineRule="auto"/>
        <w:ind w:left="720"/>
        <w:jc w:val="both"/>
        <w:rPr>
          <w:rFonts w:eastAsiaTheme="minorEastAsia" w:cstheme="minorHAnsi"/>
        </w:rPr>
      </w:pPr>
    </w:p>
    <w:p w14:paraId="3CABFDCD">
      <w:pPr>
        <w:numPr>
          <w:ilvl w:val="0"/>
          <w:numId w:val="18"/>
        </w:numPr>
        <w:spacing w:line="276" w:lineRule="auto"/>
        <w:jc w:val="both"/>
        <w:rPr>
          <w:rFonts w:eastAsiaTheme="minorEastAsia" w:cstheme="minorHAnsi"/>
        </w:rPr>
      </w:pPr>
      <w:r>
        <w:rPr>
          <w:rFonts w:eastAsiaTheme="minorEastAsia" w:cstheme="minorHAnsi"/>
          <w:b/>
          <w:bCs/>
        </w:rPr>
        <w:t>Supervision of demonstration and home gardens:</w:t>
      </w:r>
      <w:r>
        <w:rPr>
          <w:rFonts w:eastAsiaTheme="minorEastAsia" w:cstheme="minorHAnsi"/>
        </w:rPr>
        <w:t xml:space="preserve"> From July 1 to Sept. 30, 2025, the project supervised the monitoring of 24 communal and 438 individual gardens in collaboration with agricultural extension workers across 11 wards (Daware, Fufore, Mararaban Cigari, Mayo-Inne, Pariya, Uki-Tuki, Farang, Yadim, Wuro-Bokki, Karlahi, Ribadu, Gurin communities) in Fufore LGA. This activity focused on providing technical advice on best practices for home gardening to beneficiaries involved in home and micro gardening. The extension workers also provided technical assistance on climate-smart approaches, helping participants utilize local resources to address challenges such as limited space, water shortages, and pest and disease infestations. This thorough visit ensured most gardens were in good condition. It was used to educate project participants and the community about the importance of home gardening as a tool to combat food insecurity.</w:t>
      </w:r>
    </w:p>
    <w:p w14:paraId="6B6CFC72">
      <w:pPr>
        <w:spacing w:line="276" w:lineRule="auto"/>
        <w:ind w:left="720"/>
        <w:jc w:val="both"/>
        <w:rPr>
          <w:rFonts w:eastAsiaTheme="minorEastAsia" w:cstheme="minorHAnsi"/>
        </w:rPr>
      </w:pPr>
      <w:r>
        <w:rPr>
          <w:rFonts w:eastAsiaTheme="minorEastAsia" w:cstheme="minorHAnsi"/>
        </w:rPr>
        <w:t>Additionally, project participants harvested 1,329.1kg of various nutritious vegetables, including Amaranthus, Vitamin A-fortified maize, sorrel, cucumber, and jute (ayoyo), which were primarily used for consumption. The surplus was sold to other individuals or at the local market. Most harvested gardens are re-established to ensure that households have sustainable access to safe and nutritious food.  </w:t>
      </w:r>
    </w:p>
    <w:p w14:paraId="133FD716">
      <w:pPr>
        <w:spacing w:line="276" w:lineRule="auto"/>
        <w:ind w:left="720"/>
        <w:jc w:val="both"/>
        <w:rPr>
          <w:rFonts w:eastAsiaTheme="minorEastAsia" w:cstheme="minorHAnsi"/>
        </w:rPr>
      </w:pPr>
    </w:p>
    <w:p w14:paraId="4F1D81B2">
      <w:pPr>
        <w:numPr>
          <w:ilvl w:val="0"/>
          <w:numId w:val="19"/>
        </w:numPr>
        <w:spacing w:line="276" w:lineRule="auto"/>
        <w:jc w:val="both"/>
        <w:rPr>
          <w:rFonts w:eastAsiaTheme="minorEastAsia" w:cstheme="minorHAnsi"/>
        </w:rPr>
      </w:pPr>
      <w:r>
        <w:rPr>
          <w:rFonts w:eastAsiaTheme="minorEastAsia" w:cstheme="minorHAnsi"/>
          <w:b/>
          <w:bCs/>
          <w:lang w:val="en-GB"/>
        </w:rPr>
        <w:t xml:space="preserve">Support group meetings: </w:t>
      </w:r>
      <w:r>
        <w:rPr>
          <w:rFonts w:eastAsiaTheme="minorEastAsia" w:cstheme="minorHAnsi"/>
          <w:lang w:val="en-GB"/>
        </w:rPr>
        <w:t>From July 1 to September 30, 2025, 77 support groups (55 moms and 22 adolescent girls) held monthly meetings across 11 wards of Fufore LGA, including Pariya, Mayo-Inne, Fufore, Karlahi, Gurin, Ribadu, Uki-Tuki, Farang, Wuro-Bokki, Yadim, and Mararaban Cigari. These meetings aimed to create a safe space where women can connect, share experiences, and learn more about maternal, infant, and young child nutrition. They were facilitated by 77 trained model moms and supervised by health workers across the locations. A total of 1155 Mothers and adolescent girls attended the monthly meetings during this period. To spread the knowledge gained, project participants and health workers cascaded information to other community members (Indirect beneficiaries), reaching 5,551 people with messages on maternal, infant, and young child nutrition.</w:t>
      </w:r>
      <w:r>
        <w:rPr>
          <w:rFonts w:eastAsiaTheme="minorEastAsia" w:cstheme="minorHAnsi"/>
          <w:b/>
          <w:bCs/>
          <w:lang w:val="en-GB"/>
        </w:rPr>
        <w:t>  </w:t>
      </w:r>
    </w:p>
    <w:p w14:paraId="15F5C355">
      <w:pPr>
        <w:spacing w:line="276" w:lineRule="auto"/>
        <w:ind w:left="720"/>
        <w:jc w:val="both"/>
        <w:rPr>
          <w:rFonts w:eastAsiaTheme="minorEastAsia" w:cstheme="minorHAnsi"/>
        </w:rPr>
      </w:pPr>
    </w:p>
    <w:p w14:paraId="3A05733D">
      <w:pPr>
        <w:numPr>
          <w:ilvl w:val="0"/>
          <w:numId w:val="20"/>
        </w:numPr>
        <w:spacing w:line="276" w:lineRule="auto"/>
        <w:jc w:val="both"/>
        <w:rPr>
          <w:rFonts w:eastAsiaTheme="minorEastAsia" w:cstheme="minorHAnsi"/>
        </w:rPr>
      </w:pPr>
      <w:r>
        <w:rPr>
          <w:rFonts w:eastAsiaTheme="minorEastAsia" w:cstheme="minorHAnsi"/>
          <w:b/>
          <w:bCs/>
        </w:rPr>
        <w:t xml:space="preserve">Supportive supervision of Village Savings and Loans Association (VSLA) meetings: </w:t>
      </w:r>
      <w:r>
        <w:rPr>
          <w:rFonts w:eastAsiaTheme="minorEastAsia" w:cstheme="minorHAnsi"/>
        </w:rPr>
        <w:t>From July to September 2025, the project facilitated the monitoring and supervision of weekly sessions for 34 village savings and loan associations. These included 11 established groups in their second savings cycle and 23 groups in their first cycle, across 11 wards of Fufore LGA. This activity was conducted by 12 supervisors from the Ministry of Entrepreneurship and Development to provide technical guidance to the groups while ensuring that standard meeting procedures were maintained.  </w:t>
      </w:r>
      <w:r>
        <w:rPr>
          <w:rFonts w:eastAsiaTheme="minorEastAsia" w:cstheme="minorHAnsi"/>
          <w:b/>
          <w:bCs/>
        </w:rPr>
        <w:t> </w:t>
      </w:r>
    </w:p>
    <w:p w14:paraId="657524C6">
      <w:pPr>
        <w:spacing w:line="276" w:lineRule="auto"/>
        <w:ind w:left="720"/>
        <w:jc w:val="both"/>
        <w:rPr>
          <w:rFonts w:eastAsiaTheme="minorEastAsia" w:cstheme="minorHAnsi"/>
        </w:rPr>
      </w:pPr>
      <w:r>
        <w:rPr>
          <w:rFonts w:eastAsiaTheme="minorEastAsia" w:cstheme="minorHAnsi"/>
        </w:rPr>
        <w:t>As of this reporting period, the 11 existing groups have saved a total of 17.5 million naira and have lent out 4.3 million naira to members to support their income-generating activities. Meanwhile, the 23 new groups have saved over 22.2 million naira and have lent out 14.2 million naira to members.</w:t>
      </w:r>
    </w:p>
    <w:p w14:paraId="7E22C260">
      <w:pPr>
        <w:spacing w:line="276" w:lineRule="auto"/>
        <w:jc w:val="both"/>
        <w:rPr>
          <w:rFonts w:eastAsiaTheme="minorEastAsia" w:cstheme="minorHAnsi"/>
        </w:rPr>
      </w:pPr>
      <w:r>
        <w:rPr>
          <w:rFonts w:eastAsiaTheme="minorEastAsia" w:cstheme="minorHAnsi"/>
        </w:rPr>
        <w:t>  </w:t>
      </w:r>
    </w:p>
    <w:p w14:paraId="425371C6">
      <w:pPr>
        <w:pStyle w:val="24"/>
        <w:numPr>
          <w:ilvl w:val="0"/>
          <w:numId w:val="21"/>
        </w:numPr>
        <w:spacing w:line="276" w:lineRule="auto"/>
        <w:jc w:val="both"/>
        <w:rPr>
          <w:rFonts w:eastAsiaTheme="minorEastAsia" w:cstheme="minorHAnsi"/>
        </w:rPr>
      </w:pPr>
      <w:r>
        <w:rPr>
          <w:rFonts w:eastAsiaTheme="minorEastAsia" w:cstheme="minorHAnsi"/>
          <w:b/>
          <w:bCs/>
        </w:rPr>
        <w:t xml:space="preserve">VSLA Audit and Share-Out: </w:t>
      </w:r>
      <w:r>
        <w:rPr>
          <w:rFonts w:eastAsiaTheme="minorEastAsia" w:cstheme="minorHAnsi"/>
        </w:rPr>
        <w:t xml:space="preserve"> </w:t>
      </w:r>
    </w:p>
    <w:p w14:paraId="1AAA0C46">
      <w:pPr>
        <w:spacing w:line="276" w:lineRule="auto"/>
        <w:ind w:left="720"/>
        <w:jc w:val="both"/>
        <w:rPr>
          <w:rFonts w:eastAsiaTheme="minorEastAsia" w:cstheme="minorHAnsi"/>
        </w:rPr>
      </w:pPr>
      <w:r>
        <w:rPr>
          <w:rFonts w:eastAsia="Arial" w:cstheme="minorHAnsi"/>
        </w:rPr>
        <w:t>Between 11</w:t>
      </w:r>
      <w:r>
        <w:rPr>
          <w:rFonts w:eastAsia="Arial" w:cstheme="minorHAnsi"/>
          <w:sz w:val="19"/>
          <w:szCs w:val="19"/>
          <w:vertAlign w:val="superscript"/>
        </w:rPr>
        <w:t>th</w:t>
      </w:r>
      <w:r>
        <w:rPr>
          <w:rFonts w:eastAsia="Arial" w:cstheme="minorHAnsi"/>
        </w:rPr>
        <w:t xml:space="preserve"> and 24</w:t>
      </w:r>
      <w:r>
        <w:rPr>
          <w:rFonts w:eastAsia="Arial" w:cstheme="minorHAnsi"/>
          <w:sz w:val="19"/>
          <w:szCs w:val="19"/>
          <w:vertAlign w:val="superscript"/>
        </w:rPr>
        <w:t>th</w:t>
      </w:r>
      <w:r>
        <w:rPr>
          <w:rFonts w:eastAsiaTheme="minorEastAsia" w:cstheme="minorHAnsi"/>
        </w:rPr>
        <w:t xml:space="preserve"> July 2025, the project team, in collaboration with VSLA supervisors from the Adamawa State Ministry of Entrepreneurship and Development, conducted an audit and share-out for 11 old VSLAs across 5 wards (Fufore, Daware, Mayo-Inne, Pariya, and Mararaban Cigari) who have reached the end of their second cycle savings and loans activities. This activity focuses on ensuring that group members are adequately informed about how activities progress in the VSLA cycle, and each member receives their entitlement in a transparent manner based on the number of shares they have purchased throughout the cycle. Members who were defaulting had their shares deducted to match the amount they owed. Cumulatively, the groups saved over NGN17.5 million from the purchase of 30,547 shares. Notably, most groups experienced an increase in the value of the shares they purchased, resulting in most members going home with more money than they had initially saved. </w:t>
      </w:r>
    </w:p>
    <w:p w14:paraId="2A4045D9">
      <w:pPr>
        <w:spacing w:line="276" w:lineRule="auto"/>
        <w:jc w:val="both"/>
        <w:rPr>
          <w:rFonts w:eastAsiaTheme="minorEastAsia" w:cstheme="minorHAnsi"/>
        </w:rPr>
      </w:pPr>
      <w:r>
        <w:rPr>
          <w:rFonts w:eastAsiaTheme="minorEastAsia" w:cstheme="minorHAnsi"/>
        </w:rPr>
        <w:t xml:space="preserve">. </w:t>
      </w:r>
    </w:p>
    <w:p w14:paraId="3EE4B8F3">
      <w:pPr>
        <w:spacing w:line="276" w:lineRule="auto"/>
        <w:jc w:val="both"/>
        <w:rPr>
          <w:rFonts w:eastAsiaTheme="minorEastAsia" w:cstheme="minorHAnsi"/>
        </w:rPr>
      </w:pPr>
    </w:p>
    <w:p w14:paraId="490F8C1C">
      <w:pPr>
        <w:numPr>
          <w:ilvl w:val="0"/>
          <w:numId w:val="22"/>
        </w:numPr>
        <w:spacing w:line="276" w:lineRule="auto"/>
        <w:jc w:val="both"/>
        <w:rPr>
          <w:rFonts w:eastAsiaTheme="minorEastAsia" w:cstheme="minorHAnsi"/>
        </w:rPr>
      </w:pPr>
      <w:r>
        <w:rPr>
          <w:rFonts w:eastAsiaTheme="minorEastAsia" w:cstheme="minorHAnsi"/>
          <w:b/>
          <w:bCs/>
        </w:rPr>
        <w:t xml:space="preserve">Supportive supervision and monitoring of income-generating activities (IGAs): </w:t>
      </w:r>
      <w:r>
        <w:rPr>
          <w:rFonts w:eastAsiaTheme="minorEastAsia" w:cstheme="minorHAnsi"/>
        </w:rPr>
        <w:t>Between July 1, 2025, and September 30, 2025, staff from the Adamawa State Ministry of Entrepreneurship monitored and supervised 437 income-generating activities across five IDP host communities (Daware, Pariya, Mararaban Cigari, Fufore, and Mayo Inne) in Fufore LGA. This activity allowed the project to track sales and income and offer professional advice on improving these enterprises. During this reporting period, the supervisors reported a profit of NGN15,018,660 from the IGAs of project participants across 11 wards in Fufore LGA</w:t>
      </w:r>
      <w:r>
        <w:rPr>
          <w:rFonts w:eastAsiaTheme="minorEastAsia" w:cstheme="minorHAnsi"/>
          <w:b/>
          <w:bCs/>
        </w:rPr>
        <w:t>.</w:t>
      </w:r>
    </w:p>
    <w:p w14:paraId="696843DB">
      <w:pPr>
        <w:pStyle w:val="24"/>
        <w:numPr>
          <w:ilvl w:val="0"/>
          <w:numId w:val="22"/>
        </w:numPr>
        <w:spacing w:before="120" w:after="120" w:line="276" w:lineRule="auto"/>
        <w:jc w:val="both"/>
        <w:rPr>
          <w:rFonts w:eastAsiaTheme="minorEastAsia" w:cstheme="minorHAnsi"/>
        </w:rPr>
      </w:pPr>
      <w:r>
        <w:rPr>
          <w:rFonts w:eastAsiaTheme="minorEastAsia" w:cstheme="minorHAnsi"/>
          <w:b/>
          <w:bCs/>
        </w:rPr>
        <w:t>Monthly data validation</w:t>
      </w:r>
      <w:r>
        <w:rPr>
          <w:rFonts w:eastAsiaTheme="minorEastAsia" w:cstheme="minorHAnsi"/>
        </w:rPr>
        <w:t>: monthly data validation with community health extension workers and agricultural extension workers was conducted to ensure data accuracy by cross-checking primary data sources with the data sent to the SurveyCTO App. These checks provide reliable data for informed program decisions and improved service delivery outcomes in health and agriculture.</w:t>
      </w:r>
    </w:p>
    <w:p w14:paraId="1A85979B">
      <w:pPr>
        <w:spacing w:line="276" w:lineRule="auto"/>
        <w:ind w:left="720"/>
        <w:jc w:val="both"/>
        <w:rPr>
          <w:rFonts w:eastAsiaTheme="minorEastAsia" w:cstheme="minorHAnsi"/>
        </w:rPr>
      </w:pPr>
    </w:p>
    <w:p w14:paraId="44971A7A">
      <w:pPr>
        <w:pStyle w:val="24"/>
        <w:numPr>
          <w:ilvl w:val="0"/>
          <w:numId w:val="22"/>
        </w:numPr>
        <w:spacing w:line="276" w:lineRule="auto"/>
        <w:jc w:val="both"/>
        <w:rPr>
          <w:rFonts w:eastAsiaTheme="minorEastAsia" w:cstheme="minorHAnsi"/>
        </w:rPr>
      </w:pPr>
      <w:r>
        <w:rPr>
          <w:rFonts w:eastAsiaTheme="minorEastAsia" w:cstheme="minorHAnsi"/>
          <w:b/>
          <w:bCs/>
          <w:color w:val="0E2841"/>
          <w:lang w:val="en-GB"/>
        </w:rPr>
        <w:t xml:space="preserve">Cascade Tom Brown Training: </w:t>
      </w:r>
      <w:r>
        <w:rPr>
          <w:rFonts w:eastAsiaTheme="minorEastAsia" w:cstheme="minorHAnsi"/>
          <w:color w:val="0E2841"/>
          <w:lang w:val="en-GB"/>
        </w:rPr>
        <w:t>From July 17th to 21st, 2025, a cascade training on the preparation of Tom Brown was successfully conducted for 77 support group members across 11 wards of Fufore Local Government Area, Adamawa State. Trained Model Moms facilitated the training with technical guidance from health workers. The project supported the training by providing some raw materials, such as grains (sorghum, groundnut, and soybeans). At the same time, participants provided other locally available items, such as water and utensils, to support the practical sessions.</w:t>
      </w:r>
      <w:r>
        <w:rPr>
          <w:rFonts w:eastAsiaTheme="minorEastAsia" w:cstheme="minorHAnsi"/>
          <w:b/>
          <w:bCs/>
          <w:color w:val="0E2841"/>
          <w:lang w:val="en-GB"/>
        </w:rPr>
        <w:t xml:space="preserve"> </w:t>
      </w:r>
    </w:p>
    <w:p w14:paraId="595400C8">
      <w:pPr>
        <w:pStyle w:val="24"/>
        <w:spacing w:line="276" w:lineRule="auto"/>
        <w:jc w:val="both"/>
        <w:rPr>
          <w:rFonts w:eastAsiaTheme="minorEastAsia" w:cstheme="minorHAnsi"/>
        </w:rPr>
      </w:pPr>
      <w:r>
        <w:rPr>
          <w:rFonts w:eastAsiaTheme="minorEastAsia" w:cstheme="minorHAnsi"/>
          <w:color w:val="0E2841"/>
          <w:lang w:val="en-GB"/>
        </w:rPr>
        <w:t xml:space="preserve">This training focused on equipping mothers and adolescent girls with knowledge and skills to prepare affordable, locally made, and highly nutritious complementary foods to promote better child growth and development. A total of 1,105 moms and adolescent girls participated. </w:t>
      </w:r>
    </w:p>
    <w:p w14:paraId="538E5B70">
      <w:pPr>
        <w:pStyle w:val="24"/>
        <w:spacing w:line="276" w:lineRule="auto"/>
        <w:jc w:val="both"/>
        <w:rPr>
          <w:rFonts w:eastAsiaTheme="minorEastAsia" w:cstheme="minorHAnsi"/>
        </w:rPr>
      </w:pPr>
      <w:r>
        <w:rPr>
          <w:rFonts w:eastAsiaTheme="minorEastAsia" w:cstheme="minorHAnsi"/>
          <w:color w:val="0E2841"/>
        </w:rPr>
        <w:t xml:space="preserve"> </w:t>
      </w:r>
    </w:p>
    <w:p w14:paraId="1A786E26">
      <w:pPr>
        <w:spacing w:line="276" w:lineRule="auto"/>
        <w:ind w:left="720"/>
        <w:jc w:val="both"/>
        <w:rPr>
          <w:rFonts w:eastAsiaTheme="minorEastAsia" w:cstheme="minorHAnsi"/>
          <w:color w:val="0E2841"/>
        </w:rPr>
      </w:pPr>
    </w:p>
    <w:p w14:paraId="4C1C55DD">
      <w:pPr>
        <w:numPr>
          <w:ilvl w:val="0"/>
          <w:numId w:val="23"/>
        </w:numPr>
        <w:spacing w:line="276" w:lineRule="auto"/>
        <w:jc w:val="both"/>
        <w:rPr>
          <w:rFonts w:eastAsiaTheme="minorEastAsia" w:cstheme="minorHAnsi"/>
        </w:rPr>
      </w:pPr>
      <w:r>
        <w:rPr>
          <w:rFonts w:eastAsiaTheme="minorEastAsia" w:cstheme="minorHAnsi"/>
          <w:b/>
          <w:bCs/>
        </w:rPr>
        <w:t xml:space="preserve">Cooking Demonstration: </w:t>
      </w:r>
      <w:r>
        <w:rPr>
          <w:rFonts w:eastAsiaTheme="minorEastAsia" w:cstheme="minorHAnsi"/>
        </w:rPr>
        <w:t xml:space="preserve">Between August 25th and 27th, 2025, the project organized a one-day cooking demonstration in partnership with the Adamawa State Primary Healthcare Development Agency (ASPHCDA) for project participants (440 Model moms and adolescent girls) across 11 wards of Fufore LGA. The demonstration was led by nutrition officers from the agency with support from community health workers, using carefully selected nutritious meals from the USAID cooking manual. The activity aimed to equip participants with practical knowledge and skills to prepare balanced, culturally appropriate dishes with local ingredients for children aged 6-24 months. Below are the meals prepared for the different age groups: </w:t>
      </w:r>
    </w:p>
    <w:p w14:paraId="772C6F77">
      <w:pPr>
        <w:pStyle w:val="24"/>
        <w:numPr>
          <w:ilvl w:val="1"/>
          <w:numId w:val="23"/>
        </w:numPr>
        <w:spacing w:line="276" w:lineRule="auto"/>
        <w:jc w:val="both"/>
        <w:rPr>
          <w:rFonts w:eastAsiaTheme="minorEastAsia" w:cstheme="minorHAnsi"/>
          <w:lang w:val="en-GB"/>
        </w:rPr>
      </w:pPr>
      <w:r>
        <w:rPr>
          <w:rFonts w:eastAsiaTheme="minorEastAsia" w:cstheme="minorHAnsi"/>
        </w:rPr>
        <w:t xml:space="preserve">For children aged 6–8 months: millet and groundnut porridge made with millet, groundnut, dried sweet potato, and moringa powder. </w:t>
      </w:r>
    </w:p>
    <w:p w14:paraId="73C48BD5">
      <w:pPr>
        <w:pStyle w:val="24"/>
        <w:numPr>
          <w:ilvl w:val="1"/>
          <w:numId w:val="23"/>
        </w:numPr>
        <w:spacing w:line="276" w:lineRule="auto"/>
        <w:jc w:val="both"/>
        <w:rPr>
          <w:rFonts w:eastAsiaTheme="minorEastAsia" w:cstheme="minorHAnsi"/>
          <w:lang w:val="en-GB"/>
        </w:rPr>
      </w:pPr>
      <w:r>
        <w:rPr>
          <w:rFonts w:eastAsiaTheme="minorEastAsia" w:cstheme="minorHAnsi"/>
        </w:rPr>
        <w:t>For children aged 9–11 months: Moi-Moi made with beans, red palm oil, crayfish, red bell pepper, onions, and iodized salt.</w:t>
      </w:r>
    </w:p>
    <w:p w14:paraId="51223DB7">
      <w:pPr>
        <w:pStyle w:val="24"/>
        <w:numPr>
          <w:ilvl w:val="1"/>
          <w:numId w:val="23"/>
        </w:numPr>
        <w:spacing w:line="276" w:lineRule="auto"/>
        <w:jc w:val="both"/>
        <w:rPr>
          <w:rFonts w:eastAsiaTheme="minorEastAsia" w:cstheme="minorHAnsi"/>
          <w:lang w:val="en-GB"/>
        </w:rPr>
      </w:pPr>
      <w:r>
        <w:rPr>
          <w:rFonts w:eastAsiaTheme="minorEastAsia" w:cstheme="minorHAnsi"/>
        </w:rPr>
        <w:t xml:space="preserve">For children aged 12–24 months: Jollof Rice and vegetables made with red palm oil, iodized salt, dried fish, onions, red bell pepper, daddawa, destoned rice, and amaranth. </w:t>
      </w:r>
    </w:p>
    <w:p w14:paraId="772AA62C">
      <w:pPr>
        <w:pStyle w:val="24"/>
        <w:spacing w:line="276" w:lineRule="auto"/>
        <w:jc w:val="both"/>
        <w:rPr>
          <w:rFonts w:eastAsiaTheme="minorEastAsia" w:cstheme="minorHAnsi"/>
          <w:lang w:val="en-GB"/>
        </w:rPr>
      </w:pPr>
      <w:r>
        <w:rPr>
          <w:rFonts w:eastAsiaTheme="minorEastAsia" w:cstheme="minorHAnsi"/>
        </w:rPr>
        <w:t xml:space="preserve"> </w:t>
      </w:r>
      <w:r>
        <w:rPr>
          <w:rFonts w:eastAsiaTheme="minorEastAsia" w:cstheme="minorHAnsi"/>
          <w:lang w:val="en-GB"/>
        </w:rPr>
        <w:t xml:space="preserve"> </w:t>
      </w:r>
    </w:p>
    <w:p w14:paraId="390C4AF2">
      <w:pPr>
        <w:pStyle w:val="24"/>
        <w:numPr>
          <w:ilvl w:val="0"/>
          <w:numId w:val="24"/>
        </w:numPr>
        <w:spacing w:line="276" w:lineRule="auto"/>
        <w:jc w:val="both"/>
        <w:rPr>
          <w:rFonts w:eastAsiaTheme="minorEastAsia" w:cstheme="minorHAnsi"/>
        </w:rPr>
      </w:pPr>
      <w:r>
        <w:rPr>
          <w:rFonts w:eastAsiaTheme="minorEastAsia" w:cstheme="minorHAnsi"/>
          <w:b/>
          <w:bCs/>
        </w:rPr>
        <w:t>Distribution of Improved Seed:</w:t>
      </w:r>
      <w:r>
        <w:rPr>
          <w:rFonts w:eastAsiaTheme="minorEastAsia" w:cstheme="minorHAnsi"/>
        </w:rPr>
        <w:t xml:space="preserve"> Between August 25th and 27th, 2025, improved varieties of maize, jute, okra, and sesame leaves were distributed to 1155 support group members across 11 wards of Fufore LGA. The distribution aims to scale up enhanced home food production in the community, ensuring that households have sustainable access to a variety of nutritious foods, thereby improving food and nutrition security. Participants will receive support from Agricultural extension workers at their respective locations to establish home gardens using the seeds they received.  </w:t>
      </w:r>
    </w:p>
    <w:p w14:paraId="019786F1">
      <w:pPr>
        <w:pStyle w:val="24"/>
        <w:spacing w:line="276" w:lineRule="auto"/>
        <w:jc w:val="both"/>
        <w:rPr>
          <w:rFonts w:eastAsiaTheme="minorEastAsia" w:cstheme="minorHAnsi"/>
        </w:rPr>
      </w:pPr>
      <w:r>
        <w:rPr>
          <w:rFonts w:eastAsiaTheme="minorEastAsia" w:cstheme="minorHAnsi"/>
          <w:color w:val="0E2841"/>
        </w:rPr>
        <w:t xml:space="preserve"> </w:t>
      </w:r>
    </w:p>
    <w:p w14:paraId="125843D7">
      <w:pPr>
        <w:pStyle w:val="24"/>
        <w:numPr>
          <w:ilvl w:val="0"/>
          <w:numId w:val="25"/>
        </w:numPr>
        <w:spacing w:line="276" w:lineRule="auto"/>
        <w:jc w:val="both"/>
        <w:rPr>
          <w:rFonts w:eastAsiaTheme="minorEastAsia" w:cstheme="minorHAnsi"/>
        </w:rPr>
      </w:pPr>
      <w:r>
        <w:rPr>
          <w:rFonts w:eastAsiaTheme="minorEastAsia" w:cstheme="minorHAnsi"/>
          <w:b/>
          <w:bCs/>
          <w:color w:val="0E2841"/>
          <w:lang w:val="en-GB"/>
        </w:rPr>
        <w:t xml:space="preserve">Joint Supportive Supervision of Project Activities: </w:t>
      </w:r>
      <w:r>
        <w:rPr>
          <w:rFonts w:eastAsiaTheme="minorEastAsia" w:cstheme="minorHAnsi"/>
          <w:color w:val="0E2841"/>
          <w:lang w:val="en-GB"/>
        </w:rPr>
        <w:t xml:space="preserve">From September 1st to 4th, 2025, the project conducted supportive supervision in collaboration with directors from the Adamawa State Ministry of Health (ASMoH), Primary Health Care Development Agency (ASPHCDA), Ministry of Entrepreneurship (ASMoE), Agricultural Development Program (AADP), Ministry of Agriculture (ASMoA), and the State Planning Commission. The purpose of the joint supervision was to strengthen project implementation through collaborative monitoring with stakeholders from relevant ministries. During the visit, the quality and progress of the project were assessed, technical support was provided to the project's technical staff and health workers, and gaps affecting service delivery were identified. Stakeholders also offered recommendations for improvement. Additionally, the supervision fostered greater ownership and coordination, aiming to achieve better project outcomes in the state. </w:t>
      </w:r>
    </w:p>
    <w:p w14:paraId="0D5DE8D3">
      <w:pPr>
        <w:pStyle w:val="24"/>
        <w:spacing w:line="276" w:lineRule="auto"/>
        <w:jc w:val="both"/>
        <w:rPr>
          <w:rFonts w:eastAsiaTheme="minorEastAsia" w:cstheme="minorHAnsi"/>
        </w:rPr>
      </w:pPr>
    </w:p>
    <w:p w14:paraId="51E88B3A">
      <w:pPr>
        <w:pStyle w:val="24"/>
        <w:numPr>
          <w:ilvl w:val="0"/>
          <w:numId w:val="25"/>
        </w:numPr>
        <w:spacing w:line="276" w:lineRule="auto"/>
        <w:jc w:val="both"/>
        <w:rPr>
          <w:rFonts w:eastAsiaTheme="minorEastAsia" w:cstheme="minorHAnsi"/>
        </w:rPr>
      </w:pPr>
      <w:r>
        <w:rPr>
          <w:rFonts w:eastAsiaTheme="minorEastAsia" w:cstheme="minorHAnsi"/>
          <w:b/>
          <w:bCs/>
          <w:color w:val="0E2841"/>
          <w:lang w:val="en-GB"/>
        </w:rPr>
        <w:t>Sensitization and Distribution of Hygiene Kits</w:t>
      </w:r>
      <w:r>
        <w:rPr>
          <w:rFonts w:eastAsiaTheme="minorEastAsia" w:cstheme="minorHAnsi"/>
          <w:color w:val="0E2841"/>
          <w:lang w:val="en-GB"/>
        </w:rPr>
        <w:t xml:space="preserve">: From September 8th to 10th, 2025, the project, in collaboration with 24 community health workers, conducted awareness sessions for 440 participants on water, sanitation, and hygiene (WASH). They distributed hygiene kits to each participant, which included essential items such as nail clippers, Veronica buckets, reusable pads, kettles, jerrycans, toothpaste, toothbrushes, Aqua Tabs, potties, soap, detergent, and IEC materials in both Hausa and English. This initiative aimed to promote the proper adoption of Water, Sanitation, and Hygiene (WASH) and Essential Hygiene Actions (EHA) practices, especially among women and children. It is expected to improve hygiene behaviors, reduce waterborne diseases, and empower participants to manage their health and hygiene better, thereby contributing to improved community health outcomes. </w:t>
      </w:r>
    </w:p>
    <w:p w14:paraId="21DEAA7B">
      <w:pPr>
        <w:pStyle w:val="24"/>
        <w:spacing w:line="276" w:lineRule="auto"/>
        <w:jc w:val="both"/>
        <w:rPr>
          <w:rFonts w:eastAsiaTheme="minorEastAsia" w:cstheme="minorHAnsi"/>
        </w:rPr>
      </w:pPr>
    </w:p>
    <w:p w14:paraId="0D76CDA4">
      <w:pPr>
        <w:pStyle w:val="24"/>
        <w:numPr>
          <w:ilvl w:val="0"/>
          <w:numId w:val="25"/>
        </w:numPr>
        <w:spacing w:line="276" w:lineRule="auto"/>
        <w:jc w:val="both"/>
        <w:rPr>
          <w:rFonts w:eastAsiaTheme="minorEastAsia" w:cstheme="minorHAnsi"/>
        </w:rPr>
      </w:pPr>
      <w:r>
        <w:rPr>
          <w:rFonts w:eastAsiaTheme="minorEastAsia" w:cstheme="minorHAnsi"/>
          <w:b/>
          <w:bCs/>
          <w:color w:val="0E2841"/>
        </w:rPr>
        <w:t xml:space="preserve">Endline Survey: </w:t>
      </w:r>
      <w:r>
        <w:rPr>
          <w:rFonts w:eastAsiaTheme="minorEastAsia" w:cstheme="minorHAnsi"/>
          <w:color w:val="0E2841"/>
        </w:rPr>
        <w:t xml:space="preserve">From September 15th to 21st, 2025, the project conducted an endline survey involving 440 project participants and 24 health workers across 12 communities in Fufore LGA. The study aimed to assess the impact of the project's implementation and evaluate women’s knowledge, attitudes, and practices (KAP) related to homestead food production, community management of malnutrition, maternal and young child nutrition, infant nutrition, village savings and loan associations, and income-generating activities. Fifteen trained enumerators (6 females and 9 males) surveyed under the supervision of Helen Keller’s M&amp;E and program teams. </w:t>
      </w:r>
    </w:p>
    <w:p w14:paraId="624364D4">
      <w:pPr>
        <w:pStyle w:val="24"/>
        <w:spacing w:line="276" w:lineRule="auto"/>
        <w:jc w:val="both"/>
        <w:rPr>
          <w:rFonts w:eastAsia="Arial" w:cstheme="minorHAnsi"/>
          <w:b/>
          <w:bCs/>
          <w:i/>
          <w:iCs/>
        </w:rPr>
      </w:pPr>
      <w:r>
        <w:rPr>
          <w:rFonts w:eastAsia="Arial" w:cstheme="minorHAnsi"/>
          <w:b/>
          <w:bCs/>
          <w:i/>
          <w:iCs/>
        </w:rPr>
        <w:t xml:space="preserve"> </w:t>
      </w:r>
    </w:p>
    <w:p w14:paraId="51174D9D">
      <w:pPr>
        <w:spacing w:line="276" w:lineRule="auto"/>
        <w:rPr>
          <w:rFonts w:cstheme="minorHAnsi"/>
        </w:rPr>
      </w:pPr>
    </w:p>
    <w:p w14:paraId="575D3BE5">
      <w:pPr>
        <w:spacing w:line="276" w:lineRule="auto"/>
        <w:rPr>
          <w:rFonts w:cstheme="minorHAnsi"/>
        </w:rPr>
      </w:pPr>
      <w:r>
        <w:rPr>
          <w:rFonts w:cstheme="minorHAnsi"/>
          <w:b/>
          <w:u w:val="single"/>
          <w:lang w:val="en-GB"/>
        </w:rPr>
        <w:t>Transforming Lives Through Nutrition (TLTN) Project</w:t>
      </w:r>
    </w:p>
    <w:p w14:paraId="771CB767">
      <w:pPr>
        <w:spacing w:line="276" w:lineRule="auto"/>
        <w:rPr>
          <w:rFonts w:cstheme="minorHAnsi"/>
        </w:rPr>
      </w:pPr>
      <w:r>
        <w:rPr>
          <w:rFonts w:cstheme="minorHAnsi"/>
        </w:rPr>
        <w:t> </w:t>
      </w:r>
    </w:p>
    <w:p w14:paraId="668C8F3C">
      <w:pPr>
        <w:numPr>
          <w:ilvl w:val="0"/>
          <w:numId w:val="26"/>
        </w:numPr>
        <w:spacing w:line="276" w:lineRule="auto"/>
        <w:jc w:val="both"/>
        <w:rPr>
          <w:rFonts w:eastAsia="Arial" w:cstheme="minorHAnsi"/>
          <w:lang w:val="en-GB"/>
        </w:rPr>
      </w:pPr>
      <w:r>
        <w:rPr>
          <w:rFonts w:eastAsia="Arial" w:cstheme="minorHAnsi"/>
          <w:b/>
          <w:bCs/>
          <w:lang w:val="en-GB"/>
        </w:rPr>
        <w:t xml:space="preserve">Result Sharing Meeting: </w:t>
      </w:r>
      <w:r>
        <w:rPr>
          <w:rFonts w:eastAsia="Arial" w:cstheme="minorHAnsi"/>
          <w:lang w:val="en-GB"/>
        </w:rPr>
        <w:t xml:space="preserve">The Transforming Lives Through Nutrition (TLTN), in partnership with Vitamin Angels, successfully held a one-day results-sharing meeting on August 11, 2025, for the first year of implementation. The meeting offered a platform to showcase progress, challenges, and lessons learned from Year One efforts while encouraging collaboration and synergy among stakeholders. The session brought together implementation partners, including the Adamawa State Primary Health Care Development Agency, the Local Government Primary Health Care Agency, the State Ministry of Health, the State Ministry of Agriculture, the State Ministry of Information, the Planning Commission, UNICEF, JAGAMATO, among others. A total of 56 participants attended, reflecting strong multi-sectoral dedication to improving nutrition outcomes in Adamawa State. </w:t>
      </w:r>
    </w:p>
    <w:p w14:paraId="1487993D">
      <w:pPr>
        <w:spacing w:line="276" w:lineRule="auto"/>
        <w:ind w:left="720"/>
        <w:jc w:val="both"/>
        <w:rPr>
          <w:rFonts w:eastAsia="Arial" w:cstheme="minorHAnsi"/>
          <w:lang w:val="en-GB"/>
        </w:rPr>
      </w:pPr>
    </w:p>
    <w:p w14:paraId="48D71A7F">
      <w:pPr>
        <w:pStyle w:val="24"/>
        <w:numPr>
          <w:ilvl w:val="0"/>
          <w:numId w:val="26"/>
        </w:numPr>
        <w:spacing w:line="276" w:lineRule="auto"/>
        <w:jc w:val="both"/>
        <w:rPr>
          <w:rFonts w:eastAsia="Arial" w:cstheme="minorHAnsi"/>
          <w:lang w:val="en-GB"/>
        </w:rPr>
      </w:pPr>
      <w:r>
        <w:rPr>
          <w:rFonts w:eastAsia="Arial" w:cstheme="minorHAnsi"/>
          <w:b/>
          <w:bCs/>
          <w:lang w:val="en-GB"/>
        </w:rPr>
        <w:t xml:space="preserve">Program Planning Meeting: </w:t>
      </w:r>
      <w:r>
        <w:rPr>
          <w:rFonts w:eastAsia="Arial" w:cstheme="minorHAnsi"/>
          <w:lang w:val="en-GB"/>
        </w:rPr>
        <w:t>On August 12, 2025, the Transforming Lives Through Nutrition (TLTN) Project held a one-day planning session in partnership with Vitamin Angels to align priorities for Year Two implementation. The meeting focused on reviewing lessons from the first year, setting strategic directions, and strengthening collaboration across sectors. It brought together key stakeholders and partners, including the Adamawa State Primary Health Care Development Agency, the Local Government Primary Health Care Agency, the State Ministry of Health, and the State Ministry of Agriculture, among others. A total of 68 participants actively engaged in the discussions, demonstrating strong commitment and collective ownership toward achieving better nutrition outcomes in Adamawa State.</w:t>
      </w:r>
    </w:p>
    <w:p w14:paraId="65096A36">
      <w:pPr>
        <w:pStyle w:val="24"/>
        <w:spacing w:line="276" w:lineRule="auto"/>
        <w:jc w:val="both"/>
        <w:rPr>
          <w:rFonts w:eastAsia="Arial" w:cstheme="minorHAnsi"/>
          <w:lang w:val="en-GB"/>
        </w:rPr>
      </w:pPr>
    </w:p>
    <w:p w14:paraId="2258D6CA">
      <w:pPr>
        <w:numPr>
          <w:ilvl w:val="0"/>
          <w:numId w:val="26"/>
        </w:numPr>
        <w:spacing w:line="276" w:lineRule="auto"/>
        <w:jc w:val="both"/>
        <w:rPr>
          <w:rFonts w:eastAsia="Arial" w:cstheme="minorHAnsi"/>
          <w:lang w:val="en-GB"/>
        </w:rPr>
      </w:pPr>
      <w:r>
        <w:rPr>
          <w:rFonts w:eastAsia="Arial" w:cstheme="minorHAnsi"/>
          <w:b/>
          <w:bCs/>
          <w:lang w:val="en-GB"/>
        </w:rPr>
        <w:t xml:space="preserve">Two-Day Training on Home Gardening Techniques for Agricultural Extension Workers: </w:t>
      </w:r>
      <w:r>
        <w:rPr>
          <w:rFonts w:eastAsia="Arial" w:cstheme="minorHAnsi"/>
          <w:lang w:val="en-GB"/>
        </w:rPr>
        <w:t>training of Agricultural Extension Workers was held in Yola on August 28th and 29th, 2025. A total of 73 participants, including 55 males and 18 females, from various Local Government Areas of Adamawa State. The goal was to strengthen the skills of Agricultural Extension Workers in better home food production techniques, support household nutrition, and improve livelihood resilience through sustainable farming practices. Topics covered included crop diversification, soil management, and integrating nutrition-sensitive agriculture. The training equipped participants with practical knowledge and tools to effectively assist women's groups and households in promoting home gardening and food production projects within their communities</w:t>
      </w:r>
      <w:r>
        <w:rPr>
          <w:rFonts w:eastAsia="Arial" w:cstheme="minorHAnsi"/>
          <w:b/>
          <w:bCs/>
          <w:lang w:val="en-GB"/>
        </w:rPr>
        <w:t>.</w:t>
      </w:r>
    </w:p>
    <w:p w14:paraId="5EB2D7FB">
      <w:pPr>
        <w:spacing w:line="276" w:lineRule="auto"/>
        <w:ind w:left="720"/>
        <w:jc w:val="both"/>
        <w:rPr>
          <w:rFonts w:eastAsia="Arial" w:cstheme="minorHAnsi"/>
          <w:lang w:val="en-GB"/>
        </w:rPr>
      </w:pPr>
    </w:p>
    <w:p w14:paraId="782025FF">
      <w:pPr>
        <w:numPr>
          <w:ilvl w:val="0"/>
          <w:numId w:val="26"/>
        </w:numPr>
        <w:spacing w:line="276" w:lineRule="auto"/>
        <w:jc w:val="both"/>
        <w:rPr>
          <w:rFonts w:eastAsia="Arial" w:cstheme="minorHAnsi"/>
          <w:lang w:val="en-GB"/>
        </w:rPr>
      </w:pPr>
      <w:r>
        <w:rPr>
          <w:rFonts w:eastAsia="Arial" w:cstheme="minorHAnsi"/>
          <w:b/>
          <w:bCs/>
        </w:rPr>
        <w:t xml:space="preserve">Distribution of WASH Items: </w:t>
      </w:r>
      <w:r>
        <w:rPr>
          <w:rFonts w:eastAsia="Arial" w:cstheme="minorHAnsi"/>
        </w:rPr>
        <w:t>From September 8th to 12th, 2025, a total of 4,740 pieces of soap and detergent were successfully distributed to 2,370 women in support groups across the project communities. Each woman received two pieces to promote better hygiene practices at the household level.</w:t>
      </w:r>
    </w:p>
    <w:p w14:paraId="52A1B933">
      <w:pPr>
        <w:spacing w:line="276" w:lineRule="auto"/>
        <w:ind w:left="720"/>
        <w:jc w:val="both"/>
        <w:rPr>
          <w:rFonts w:eastAsia="Arial" w:cstheme="minorHAnsi"/>
          <w:lang w:val="en-GB"/>
        </w:rPr>
      </w:pPr>
    </w:p>
    <w:p w14:paraId="71D594EA">
      <w:pPr>
        <w:numPr>
          <w:ilvl w:val="0"/>
          <w:numId w:val="26"/>
        </w:numPr>
        <w:spacing w:line="276" w:lineRule="auto"/>
        <w:jc w:val="both"/>
        <w:rPr>
          <w:rFonts w:eastAsia="Arial" w:cstheme="minorHAnsi"/>
        </w:rPr>
      </w:pPr>
      <w:r>
        <w:rPr>
          <w:rFonts w:eastAsia="Arial" w:cstheme="minorHAnsi"/>
          <w:b/>
          <w:bCs/>
        </w:rPr>
        <w:t xml:space="preserve">Distribution of Agricultural Inputs: </w:t>
      </w:r>
      <w:r>
        <w:rPr>
          <w:rFonts w:eastAsia="Arial" w:cstheme="minorHAnsi"/>
        </w:rPr>
        <w:t>In September 2025, Helen Keller International, through the Transforming Lives Through Nutrition Project, successfully carried out an agricultural input distribution aimed at boosting household food production and promoting nutrition-sensitive agriculture. The activity reached a total of 2,370 support group members across 15 Local Government Areas (LGAs) and 158 wards, with the project being implemented. Each beneficiary received a variety of nutrient-rich, high-yielding seeds to support their home and community gardens. The distributed inputs included Groundnut (500g), Okra (250g), Tomato (250g), Amaranthus (500g), and vitamin A-fortified maize (500g) per participant. These inputs were carefully selected to encourage dietary diversity, improve household food security, and ensure the availability of micronutrient-rich foods at the community level.</w:t>
      </w:r>
    </w:p>
    <w:p w14:paraId="0A47EE51">
      <w:pPr>
        <w:spacing w:line="276" w:lineRule="auto"/>
        <w:ind w:left="720"/>
        <w:jc w:val="both"/>
        <w:rPr>
          <w:rFonts w:eastAsia="Arial" w:cstheme="minorHAnsi"/>
        </w:rPr>
      </w:pPr>
    </w:p>
    <w:p w14:paraId="472204D6">
      <w:pPr>
        <w:spacing w:line="276" w:lineRule="auto"/>
        <w:ind w:left="720"/>
        <w:jc w:val="both"/>
        <w:rPr>
          <w:rFonts w:eastAsia="Arial" w:cstheme="minorHAnsi"/>
        </w:rPr>
      </w:pPr>
    </w:p>
    <w:p w14:paraId="69A39836">
      <w:pPr>
        <w:pStyle w:val="24"/>
        <w:numPr>
          <w:ilvl w:val="0"/>
          <w:numId w:val="26"/>
        </w:numPr>
        <w:spacing w:line="276" w:lineRule="auto"/>
        <w:jc w:val="both"/>
        <w:rPr>
          <w:rFonts w:eastAsia="Arial" w:cstheme="minorHAnsi"/>
          <w:lang w:val="en-GB"/>
        </w:rPr>
      </w:pPr>
      <w:r>
        <w:rPr>
          <w:rFonts w:eastAsia="Arial" w:cstheme="minorHAnsi"/>
          <w:b/>
          <w:bCs/>
        </w:rPr>
        <w:t xml:space="preserve">Two-day Refresher Training for Health Workers on IMAM, MICYN, and WASH: </w:t>
      </w:r>
      <w:r>
        <w:rPr>
          <w:rFonts w:eastAsia="Arial" w:cstheme="minorHAnsi"/>
        </w:rPr>
        <w:t xml:space="preserve">From September 8th to 16th, 2025, a two-day refresher training was held for health workers and LGA teams on IMAM, MICYN, and WASH across 15 LGAs. The training involved a total of 473 participants, including 151 male health workers and 211 female health workers who had previously been trained under the Transforming Lives Through Nutrition Project Year One. Additionally, 18 male health workers and 36 female health workers received training for the first time, which helped expand the coverage of skilled personnel in the state. The training also saw strong participation from the LGA team, with 17 males and 20 females who had prior training, along with an additional 8 males and 12 females who were trained for the first time under the project.  </w:t>
      </w:r>
    </w:p>
    <w:p w14:paraId="6B651B8C">
      <w:pPr>
        <w:pStyle w:val="24"/>
        <w:spacing w:line="276" w:lineRule="auto"/>
        <w:jc w:val="both"/>
        <w:rPr>
          <w:rFonts w:eastAsia="Arial" w:cstheme="minorHAnsi"/>
          <w:lang w:val="en-GB"/>
        </w:rPr>
      </w:pPr>
    </w:p>
    <w:p w14:paraId="62D914BC">
      <w:pPr>
        <w:pStyle w:val="24"/>
        <w:numPr>
          <w:ilvl w:val="0"/>
          <w:numId w:val="26"/>
        </w:numPr>
        <w:spacing w:line="276" w:lineRule="auto"/>
        <w:jc w:val="both"/>
        <w:rPr>
          <w:rFonts w:eastAsia="Arial" w:cstheme="minorHAnsi"/>
          <w:lang w:val="en-GB"/>
        </w:rPr>
      </w:pPr>
      <w:r>
        <w:rPr>
          <w:rFonts w:eastAsia="Arial" w:cstheme="minorHAnsi"/>
          <w:b/>
          <w:bCs/>
        </w:rPr>
        <w:t xml:space="preserve">Step-down Training of Model Moms on MICYN and Food Demonstration: </w:t>
      </w:r>
      <w:r>
        <w:rPr>
          <w:rFonts w:eastAsia="Arial" w:cstheme="minorHAnsi"/>
        </w:rPr>
        <w:t>from September 10th to 17th, 2025, a one-day training on MICYN and Food Demonstration was held for Model Moms across 15 LGAs, facilitated by the Nutrition Focal Persons (NFPs). The training involved a total of 155 mothers, including 3 who were trained for the first time under the Transforming Lives Through Nutrition Project</w:t>
      </w:r>
      <w:r>
        <w:rPr>
          <w:rFonts w:eastAsia="Arial" w:cstheme="minorHAnsi"/>
          <w:b/>
          <w:bCs/>
        </w:rPr>
        <w:t>.</w:t>
      </w:r>
    </w:p>
    <w:p w14:paraId="23AFCDBC">
      <w:pPr>
        <w:pStyle w:val="24"/>
        <w:spacing w:line="276" w:lineRule="auto"/>
        <w:jc w:val="both"/>
        <w:rPr>
          <w:rFonts w:eastAsia="Arial" w:cstheme="minorHAnsi"/>
          <w:lang w:val="en-GB"/>
        </w:rPr>
      </w:pPr>
    </w:p>
    <w:p w14:paraId="10957D6B">
      <w:pPr>
        <w:numPr>
          <w:ilvl w:val="0"/>
          <w:numId w:val="26"/>
        </w:numPr>
        <w:spacing w:line="276" w:lineRule="auto"/>
        <w:jc w:val="both"/>
        <w:rPr>
          <w:rFonts w:cstheme="minorHAnsi"/>
        </w:rPr>
      </w:pPr>
      <w:r>
        <w:rPr>
          <w:rFonts w:eastAsia="Arial" w:cstheme="minorHAnsi"/>
          <w:b/>
          <w:bCs/>
          <w:lang w:val="en-GB"/>
        </w:rPr>
        <w:t xml:space="preserve">Step-Down Training for Model Moms on Enhanced Food Production: </w:t>
      </w:r>
      <w:r>
        <w:rPr>
          <w:rFonts w:eastAsia="Arial" w:cstheme="minorHAnsi"/>
          <w:lang w:val="en-GB"/>
        </w:rPr>
        <w:t>from September 3rd to 5th, 2025, a step-down training on home gardening techniques was held for Model Moms across project locations. The training was led by trained Agricultural Extension Workers (AEWs) who provided technical guidance and practical demonstrations. A total of 158 Model Moms participated in the sessions. Of these, 154 mothers had been previously trained under the project, while 4 mothers received training for the first time. This training further strengthened the capacity of the Model Moms to enhance household food production, promote nutrition-sensitive practices, and facilitate knowledge transfer within their communities.</w:t>
      </w:r>
    </w:p>
    <w:p w14:paraId="184C5790">
      <w:pPr>
        <w:spacing w:line="276" w:lineRule="auto"/>
        <w:jc w:val="both"/>
        <w:rPr>
          <w:rFonts w:cstheme="minorHAnsi"/>
        </w:rPr>
      </w:pPr>
    </w:p>
    <w:p w14:paraId="01E71BAB">
      <w:pPr>
        <w:numPr>
          <w:ilvl w:val="0"/>
          <w:numId w:val="26"/>
        </w:numPr>
        <w:spacing w:line="276" w:lineRule="auto"/>
        <w:jc w:val="both"/>
        <w:rPr>
          <w:rFonts w:eastAsia="Arial" w:cstheme="minorHAnsi"/>
          <w:lang w:val="en-GB"/>
        </w:rPr>
      </w:pPr>
      <w:r>
        <w:rPr>
          <w:rFonts w:eastAsia="Arial" w:cstheme="minorHAnsi"/>
          <w:b/>
          <w:bCs/>
          <w:lang w:val="en-GB"/>
        </w:rPr>
        <w:t xml:space="preserve">State-Level Training on Multiple Micronutrient Supplementation (MMS): </w:t>
      </w:r>
      <w:r>
        <w:rPr>
          <w:rFonts w:eastAsia="Arial" w:cstheme="minorHAnsi"/>
          <w:lang w:val="en-GB"/>
        </w:rPr>
        <w:t>A two-day State-Level Training on MMS was held at AUN Hotel, Yola, on September 22nd and 23rd, 2025. It was organized by Helen Keller Intl through the Transforming Lives through Nutrition Project, in partnership with the Federal Ministry of Health. The training included 95 participants (42 males and 53 females), such as Nutrition and MCH Directors, Nutrition Focal Persons, LGA M&amp;E Officers, the State Nutrition Director, the SNO, the Director of CHS, and representatives from the State Ministry of Health and the Essential Drugs and Logistics Unit of ADSPHCDA. The goal was to strengthen stakeholders’ capacity for effective MMS implementation, data management, and integration into maternal and child health services. Participants reaffirmed their commitment to improving the rollout and coordination of MMS activities across Adamawa State.</w:t>
      </w:r>
    </w:p>
    <w:p w14:paraId="4A7DF9C0">
      <w:pPr>
        <w:spacing w:line="276" w:lineRule="auto"/>
        <w:ind w:left="720"/>
        <w:jc w:val="both"/>
        <w:rPr>
          <w:rFonts w:eastAsia="Arial" w:cstheme="minorHAnsi"/>
          <w:lang w:val="en-GB"/>
        </w:rPr>
      </w:pPr>
    </w:p>
    <w:p w14:paraId="41E4B905">
      <w:pPr>
        <w:numPr>
          <w:ilvl w:val="0"/>
          <w:numId w:val="26"/>
        </w:numPr>
        <w:spacing w:line="276" w:lineRule="auto"/>
        <w:jc w:val="both"/>
        <w:rPr>
          <w:rFonts w:eastAsia="Arial" w:cstheme="minorHAnsi"/>
          <w:lang w:val="en-GB"/>
        </w:rPr>
      </w:pPr>
      <w:r>
        <w:rPr>
          <w:rFonts w:eastAsia="Arial" w:cstheme="minorHAnsi"/>
          <w:b/>
          <w:bCs/>
          <w:lang w:val="en-GB"/>
        </w:rPr>
        <w:t xml:space="preserve">Two-Day Multiple Micronutrient Supplementation (MMS) Training: </w:t>
      </w:r>
      <w:r>
        <w:rPr>
          <w:rFonts w:eastAsia="Arial" w:cstheme="minorHAnsi"/>
          <w:lang w:val="en-GB"/>
        </w:rPr>
        <w:t>A two-day training on Multiple Micronutrient Supplementation (MMS) was successfully held across various locations from September 24th to October 2nd, 2025, bringing together a total of 600 participants, with two representatives from each health facility. The participants included 164 males and 436 females. Among them, 61 males and 175 females attended the training for the first time, while 103 males and 261 females had previously participated in the project. The training sessions were effectively supported by 20 LGA team members (11 females and 9 males), whose facilitation and participation were crucial to ensuring the smooth conduct and success of the activity; to assess the knowledge gained, pre- and post-test evaluations were administered to participants. The results showed a pre-test average score of 58% and a post-test average score of 71%, reflecting a 13% improvement in participants’ knowledge and understanding of MMS implementation.</w:t>
      </w:r>
    </w:p>
    <w:p w14:paraId="5052842E">
      <w:pPr>
        <w:spacing w:line="276" w:lineRule="auto"/>
        <w:ind w:left="720"/>
        <w:jc w:val="both"/>
        <w:rPr>
          <w:rFonts w:eastAsia="Arial" w:cstheme="minorHAnsi"/>
          <w:lang w:val="en-GB"/>
        </w:rPr>
      </w:pPr>
    </w:p>
    <w:p w14:paraId="3476BB61">
      <w:pPr>
        <w:numPr>
          <w:ilvl w:val="0"/>
          <w:numId w:val="26"/>
        </w:numPr>
        <w:spacing w:line="276" w:lineRule="auto"/>
        <w:jc w:val="both"/>
        <w:rPr>
          <w:rFonts w:eastAsia="Arial" w:cstheme="minorHAnsi"/>
        </w:rPr>
      </w:pPr>
      <w:r>
        <w:rPr>
          <w:rFonts w:cstheme="minorHAnsi"/>
          <w:b/>
          <w:bCs/>
          <w:lang w:val="en-GB"/>
        </w:rPr>
        <w:t xml:space="preserve">Monthly Support Group Meetings: </w:t>
      </w:r>
      <w:r>
        <w:rPr>
          <w:rFonts w:cstheme="minorHAnsi"/>
          <w:lang w:val="en-GB"/>
        </w:rPr>
        <w:t>From July 1st to September 30th, 2025, a total of 6,566 members took part in three rounds of support group meetings, during which 474 sessions were held across 15 Local Government Areas (LGAs) in Adamawa State. The LGAs included Gombi, Song, Yola North, Toungo, Numan, Demsa, Lamurde, Girei, Guyuk, Jada, Hong, Yola South, Mayo-Belwa, Shelleng, and Ganye. These sessions provided an essential platform for peer learning, emotional and social support, and the exchange of knowledge on key areas related to maternal, infant, and child health and nutrition. Participants were encouraged to share the knowledge they gained within their communities, thereby increasing nutrition awareness, promoting positive behavioral change, and fostering better health practices at the community level.</w:t>
      </w:r>
    </w:p>
    <w:p w14:paraId="397B5935">
      <w:pPr>
        <w:spacing w:line="276" w:lineRule="auto"/>
        <w:ind w:left="720"/>
        <w:jc w:val="both"/>
        <w:rPr>
          <w:rFonts w:eastAsia="Arial" w:cstheme="minorHAnsi"/>
        </w:rPr>
      </w:pPr>
    </w:p>
    <w:p w14:paraId="53FBA8F3">
      <w:pPr>
        <w:numPr>
          <w:ilvl w:val="0"/>
          <w:numId w:val="26"/>
        </w:numPr>
        <w:spacing w:line="276" w:lineRule="auto"/>
        <w:jc w:val="both"/>
        <w:rPr>
          <w:rFonts w:eastAsia="Arial" w:cstheme="minorHAnsi"/>
          <w:lang w:val="en-GB"/>
        </w:rPr>
      </w:pPr>
      <w:r>
        <w:rPr>
          <w:rFonts w:eastAsia="Arial" w:cstheme="minorHAnsi"/>
          <w:b/>
          <w:bCs/>
          <w:lang w:val="en-GB"/>
        </w:rPr>
        <w:t xml:space="preserve">Multiple Micronutrient Supplementation (MMS) for Pregnant Women: </w:t>
      </w:r>
      <w:r>
        <w:rPr>
          <w:rFonts w:eastAsia="Arial" w:cstheme="minorHAnsi"/>
          <w:lang w:val="en-GB"/>
        </w:rPr>
        <w:t>Between July 1 and September 30, 2025, a total of 41,905 women received MMS across the implementing LGAs in Adamawa State. Of these, 33,790 women received supplementation for the first time, while 8,115 women were revisiting beneficiaries who continued their supplementation as part of ongoing antenatal care services. The goal was to improve maternal nutrition and pregnancy outcomes by addressing critical vitamin and mineral deficiencies among pregnant women. The consistent delivery of MMS during this period demonstrates the project’s commitment to enhancing maternal health and reducing micronutrient deficiencies across communities.</w:t>
      </w:r>
    </w:p>
    <w:p w14:paraId="3E7A7B7A">
      <w:pPr>
        <w:spacing w:line="276" w:lineRule="auto"/>
        <w:jc w:val="both"/>
        <w:rPr>
          <w:rFonts w:eastAsia="Arial" w:cstheme="minorHAnsi"/>
          <w:color w:val="FF0000"/>
        </w:rPr>
      </w:pPr>
    </w:p>
    <w:p w14:paraId="32BDDCC7">
      <w:pPr>
        <w:numPr>
          <w:ilvl w:val="0"/>
          <w:numId w:val="26"/>
        </w:numPr>
        <w:spacing w:line="276" w:lineRule="auto"/>
        <w:jc w:val="both"/>
        <w:rPr>
          <w:rFonts w:eastAsia="Arial" w:cstheme="minorHAnsi"/>
          <w:lang w:val="en-GB"/>
        </w:rPr>
      </w:pPr>
      <w:r>
        <w:rPr>
          <w:rFonts w:cstheme="minorHAnsi"/>
          <w:b/>
          <w:bCs/>
          <w:lang w:val="en-GB"/>
        </w:rPr>
        <w:t xml:space="preserve">Data Validation: </w:t>
      </w:r>
      <w:r>
        <w:rPr>
          <w:rFonts w:cstheme="minorHAnsi"/>
          <w:lang w:val="en-GB"/>
        </w:rPr>
        <w:t>The LGA Data Validation exercise was successfully carried out across the twenty-one (21) Local Government Areas (LGAs) of Adamawa State, including Numan, Demsa, Yola North, Yola South, Fufore, Girei, Song, Gombi, Hong, Michika, Madagali, Mubi North, Mubi South, Maiha, Guyuk, Shelleng, Lamurde, Mayo-Belwa, Jada, Ganye, and Toungo. The exercise occurred in three phases: from July 1 to 4, 2025; August 4 to 7, 2025; and September 1 to 4, 2025. It aimed to review, verify, and ensure the accuracy and consistency of data reported from health facilities and community structures across all implementing LGAs. The process involved collaboration among LGA teams, facility focal persons, and the State Program Team, thereby enhancing data quality, strengthening accountability, and supporting evidence-based decision-making for effective program implementation throughout the state.</w:t>
      </w:r>
    </w:p>
    <w:p w14:paraId="067FDE42">
      <w:pPr>
        <w:spacing w:line="276" w:lineRule="auto"/>
        <w:ind w:left="720"/>
        <w:jc w:val="both"/>
        <w:rPr>
          <w:rFonts w:eastAsia="Arial" w:cstheme="minorHAnsi"/>
          <w:lang w:val="en-GB"/>
        </w:rPr>
      </w:pPr>
    </w:p>
    <w:p w14:paraId="6605CD13">
      <w:pPr>
        <w:spacing w:line="276" w:lineRule="auto"/>
        <w:jc w:val="both"/>
        <w:rPr>
          <w:rFonts w:cstheme="minorHAnsi"/>
          <w:b/>
          <w:bCs/>
          <w:u w:val="single"/>
          <w:lang w:val="en-GB"/>
        </w:rPr>
      </w:pPr>
      <w:r>
        <w:rPr>
          <w:rFonts w:cstheme="minorHAnsi"/>
          <w:b/>
          <w:bCs/>
          <w:u w:val="single"/>
          <w:lang w:val="en-GB"/>
        </w:rPr>
        <w:t>Vitamin A Supplementation</w:t>
      </w:r>
    </w:p>
    <w:p w14:paraId="27AA3895">
      <w:pPr>
        <w:spacing w:line="276" w:lineRule="auto"/>
        <w:jc w:val="both"/>
        <w:rPr>
          <w:rFonts w:eastAsia="Arial Nova" w:cstheme="minorHAnsi"/>
        </w:rPr>
      </w:pPr>
    </w:p>
    <w:p w14:paraId="3684A545">
      <w:pPr>
        <w:pStyle w:val="24"/>
        <w:numPr>
          <w:ilvl w:val="0"/>
          <w:numId w:val="27"/>
        </w:numPr>
        <w:spacing w:line="276" w:lineRule="auto"/>
        <w:jc w:val="both"/>
        <w:rPr>
          <w:rFonts w:eastAsiaTheme="minorEastAsia" w:cstheme="minorHAnsi"/>
        </w:rPr>
      </w:pPr>
      <w:r>
        <w:rPr>
          <w:rFonts w:eastAsiaTheme="minorEastAsia" w:cstheme="minorHAnsi"/>
          <w:b/>
          <w:bCs/>
        </w:rPr>
        <w:t xml:space="preserve">PECS enumerators training: </w:t>
      </w:r>
      <w:r>
        <w:rPr>
          <w:rFonts w:eastAsiaTheme="minorEastAsia" w:cstheme="minorHAnsi"/>
        </w:rPr>
        <w:t>From July 15 to 18, 2025, the Monitoring and Evaluation (M&amp;E) Officer, along with the Nutrition Program Officer, participated in the Post-Event Coverage Survey (PECS) training for enumerators. The training aimed to strengthen the capacity of enumerators to collect accurate and reliable data on Vitamin A supplementation coverage during the recently completed May/June Maternal, Newborn, and Child Health Week (MNCHW) across Adamawa, Benue, Ebonyi, Nasarawa, and Taraba States. The sessions provided enumerators with essential knowledge and practical skills in survey methodology, data quality assurance, use of digital data collection tools, and ethical field practices. Through hands-on exercises, such as field testing, participants enhanced their ability to produce credible and timely data for program performance evaluation.</w:t>
      </w:r>
      <w:r>
        <w:rPr>
          <w:rFonts w:eastAsiaTheme="minorEastAsia" w:cstheme="minorHAnsi"/>
          <w:b/>
          <w:bCs/>
        </w:rPr>
        <w:t xml:space="preserve"> </w:t>
      </w:r>
    </w:p>
    <w:p w14:paraId="21A164C8">
      <w:pPr>
        <w:spacing w:line="276" w:lineRule="auto"/>
        <w:jc w:val="both"/>
        <w:rPr>
          <w:rFonts w:eastAsiaTheme="minorEastAsia" w:cstheme="minorHAnsi"/>
        </w:rPr>
      </w:pPr>
    </w:p>
    <w:p w14:paraId="5B2E6698">
      <w:pPr>
        <w:pStyle w:val="4"/>
        <w:numPr>
          <w:ilvl w:val="0"/>
          <w:numId w:val="27"/>
        </w:numPr>
        <w:spacing w:before="281" w:after="281" w:line="276" w:lineRule="auto"/>
        <w:jc w:val="both"/>
        <w:rPr>
          <w:rFonts w:asciiTheme="minorHAnsi" w:hAnsiTheme="minorHAnsi" w:eastAsiaTheme="minorEastAsia" w:cstheme="minorHAnsi"/>
          <w:b w:val="0"/>
          <w:bCs w:val="0"/>
        </w:rPr>
      </w:pPr>
      <w:r>
        <w:rPr>
          <w:rFonts w:asciiTheme="minorHAnsi" w:hAnsiTheme="minorHAnsi" w:eastAsiaTheme="minorEastAsia" w:cstheme="minorHAnsi"/>
        </w:rPr>
        <w:t xml:space="preserve">Capacity Building for Supervisors to support Post Event Coverage Survey: </w:t>
      </w:r>
      <w:r>
        <w:rPr>
          <w:rFonts w:asciiTheme="minorHAnsi" w:hAnsiTheme="minorHAnsi" w:eastAsiaTheme="minorEastAsia" w:cstheme="minorHAnsi"/>
          <w:b w:val="0"/>
          <w:bCs w:val="0"/>
        </w:rPr>
        <w:t>A training session was held for supervisors from SMoH and ASPHCDA before the Post Event Coverage (PEC) Survey to improve their technical skills and ensure adequate field supervision. The goal was to prepare supervisors to oversee data collection, follow survey protocols, maintain data quality, and offer immediate guidance to field teams. The session covered key topics, including survey objectives, sampling methods, data collection tools, quality control measures, ethical considerations, and real-time problem-solving strategies. This activity took place on July 20, 2025.</w:t>
      </w:r>
    </w:p>
    <w:p w14:paraId="246337FE">
      <w:pPr>
        <w:pStyle w:val="24"/>
        <w:spacing w:line="276" w:lineRule="auto"/>
        <w:jc w:val="both"/>
        <w:rPr>
          <w:rFonts w:eastAsiaTheme="minorEastAsia" w:cstheme="minorHAnsi"/>
        </w:rPr>
      </w:pPr>
    </w:p>
    <w:p w14:paraId="19918480">
      <w:pPr>
        <w:pStyle w:val="24"/>
        <w:numPr>
          <w:ilvl w:val="0"/>
          <w:numId w:val="27"/>
        </w:numPr>
        <w:spacing w:line="276" w:lineRule="auto"/>
        <w:jc w:val="both"/>
        <w:rPr>
          <w:rFonts w:eastAsia="Arial Nova" w:cstheme="minorHAnsi"/>
        </w:rPr>
      </w:pPr>
      <w:r>
        <w:rPr>
          <w:rFonts w:eastAsiaTheme="minorEastAsia" w:cstheme="minorHAnsi"/>
          <w:b/>
          <w:bCs/>
        </w:rPr>
        <w:t>Post-Event Coverage Survey (PECS) Data Collection</w:t>
      </w:r>
      <w:r>
        <w:rPr>
          <w:rFonts w:eastAsiaTheme="minorEastAsia" w:cstheme="minorHAnsi"/>
        </w:rPr>
        <w:t>: The data collection for the Post-Event Coverage Survey (PECS) was conducted between the 21</w:t>
      </w:r>
      <w:r>
        <w:rPr>
          <w:rFonts w:eastAsiaTheme="minorEastAsia" w:cstheme="minorHAnsi"/>
          <w:vertAlign w:val="superscript"/>
        </w:rPr>
        <w:t>st</w:t>
      </w:r>
      <w:r>
        <w:rPr>
          <w:rFonts w:eastAsiaTheme="minorEastAsia" w:cstheme="minorHAnsi"/>
        </w:rPr>
        <w:t xml:space="preserve"> of July and the 1</w:t>
      </w:r>
      <w:r>
        <w:rPr>
          <w:rFonts w:eastAsiaTheme="minorEastAsia" w:cstheme="minorHAnsi"/>
          <w:vertAlign w:val="superscript"/>
        </w:rPr>
        <w:t>st</w:t>
      </w:r>
      <w:r>
        <w:rPr>
          <w:rFonts w:eastAsiaTheme="minorEastAsia" w:cstheme="minorHAnsi"/>
        </w:rPr>
        <w:t xml:space="preserve"> of August across 19 LGAs and 23 enumeration areas of the State. The PECS aimed to assess the reach, effectiveness, and validate the administrative coverage of the recently concluded May/June MNCHW campaign, particularly focusing on verifying supplementation of children 6-59months from their caregivers and identifying areas for improvement. The Post-Event Coverage Survey (PECS) results indicate that Adamawa State achieved a coverage rate of </w:t>
      </w:r>
      <w:r>
        <w:rPr>
          <w:rFonts w:eastAsiaTheme="minorEastAsia" w:cstheme="minorHAnsi"/>
          <w:b/>
          <w:bCs/>
        </w:rPr>
        <w:t>84.9%</w:t>
      </w:r>
      <w:r>
        <w:rPr>
          <w:rFonts w:eastAsiaTheme="minorEastAsia" w:cstheme="minorHAnsi"/>
        </w:rPr>
        <w:t>, aligning closely with the overall survey findings. Notably, both the administrative (campaign) coverage, 87.2% and the PECS coverage surpassed the 80% benchmark, reflecting a strong and effective campaign performance across the state.</w:t>
      </w:r>
    </w:p>
    <w:p w14:paraId="1E732593">
      <w:pPr>
        <w:spacing w:line="276" w:lineRule="auto"/>
        <w:ind w:left="720"/>
        <w:rPr>
          <w:rFonts w:cstheme="minorHAnsi"/>
          <w:b/>
        </w:rPr>
      </w:pPr>
    </w:p>
    <w:p w14:paraId="4329F144">
      <w:pPr>
        <w:spacing w:line="276" w:lineRule="auto"/>
        <w:rPr>
          <w:rFonts w:cstheme="minorHAnsi"/>
        </w:rPr>
      </w:pPr>
      <w:r>
        <w:rPr>
          <w:rFonts w:cstheme="minorHAnsi"/>
          <w:b/>
          <w:u w:val="single"/>
          <w:lang w:val="en-GB"/>
        </w:rPr>
        <w:t>REASONS FOR SUCCESS OR DEVIATION FROM TARGETS:</w:t>
      </w:r>
      <w:r>
        <w:rPr>
          <w:rFonts w:cstheme="minorHAnsi"/>
        </w:rPr>
        <w:t>  </w:t>
      </w:r>
    </w:p>
    <w:p w14:paraId="3B19A448">
      <w:pPr>
        <w:spacing w:line="276" w:lineRule="auto"/>
        <w:rPr>
          <w:rFonts w:cstheme="minorHAnsi"/>
        </w:rPr>
      </w:pPr>
      <w:r>
        <w:rPr>
          <w:rFonts w:cstheme="minorHAnsi"/>
          <w:b/>
          <w:u w:val="single"/>
          <w:lang w:val="en-GB"/>
        </w:rPr>
        <w:t>Reasons for success</w:t>
      </w:r>
      <w:r>
        <w:rPr>
          <w:rFonts w:cstheme="minorHAnsi"/>
        </w:rPr>
        <w:t>  </w:t>
      </w:r>
    </w:p>
    <w:p w14:paraId="18500BCA">
      <w:pPr>
        <w:numPr>
          <w:ilvl w:val="0"/>
          <w:numId w:val="28"/>
        </w:numPr>
        <w:spacing w:line="276" w:lineRule="auto"/>
        <w:rPr>
          <w:rFonts w:cstheme="minorHAnsi"/>
        </w:rPr>
      </w:pPr>
      <w:r>
        <w:rPr>
          <w:rFonts w:cstheme="minorHAnsi"/>
        </w:rPr>
        <w:t>Good working relationship between Helen Keller, the State, the LGA team, and the communities.  </w:t>
      </w:r>
    </w:p>
    <w:p w14:paraId="51E0F8E8">
      <w:pPr>
        <w:numPr>
          <w:ilvl w:val="0"/>
          <w:numId w:val="29"/>
        </w:numPr>
        <w:spacing w:line="276" w:lineRule="auto"/>
        <w:rPr>
          <w:rFonts w:cstheme="minorHAnsi"/>
        </w:rPr>
      </w:pPr>
      <w:r>
        <w:rPr>
          <w:rFonts w:cstheme="minorHAnsi"/>
        </w:rPr>
        <w:t>Commitment of Adamawa State Primary Health Care Development Agency (ASPHCA), State Ministry of Health (SMoH), State Ministry of Agriculture (SMoA), Other supporting partners, and Helen Keller project staff to the projects.   </w:t>
      </w:r>
    </w:p>
    <w:p w14:paraId="3EB9C2C9">
      <w:pPr>
        <w:spacing w:line="276" w:lineRule="auto"/>
        <w:rPr>
          <w:rFonts w:cstheme="minorHAnsi"/>
        </w:rPr>
      </w:pPr>
      <w:r>
        <w:rPr>
          <w:rFonts w:cstheme="minorHAnsi"/>
        </w:rPr>
        <w:t>  </w:t>
      </w:r>
    </w:p>
    <w:p w14:paraId="77725F13">
      <w:pPr>
        <w:spacing w:line="276" w:lineRule="auto"/>
        <w:rPr>
          <w:rFonts w:cstheme="minorHAnsi"/>
        </w:rPr>
      </w:pPr>
      <w:r>
        <w:rPr>
          <w:rFonts w:cstheme="minorHAnsi"/>
        </w:rPr>
        <w:t>  </w:t>
      </w:r>
    </w:p>
    <w:p w14:paraId="79B655BC">
      <w:pPr>
        <w:spacing w:line="276" w:lineRule="auto"/>
        <w:rPr>
          <w:rFonts w:cstheme="minorHAnsi"/>
        </w:rPr>
      </w:pPr>
      <w:r>
        <w:rPr>
          <w:rFonts w:cstheme="minorHAnsi"/>
        </w:rPr>
        <w:t>  </w:t>
      </w:r>
    </w:p>
    <w:p w14:paraId="6303F49F">
      <w:pPr>
        <w:spacing w:line="276" w:lineRule="auto"/>
        <w:rPr>
          <w:rFonts w:cstheme="minorHAnsi"/>
        </w:rPr>
      </w:pPr>
      <w:r>
        <w:rPr>
          <w:rFonts w:cstheme="minorHAnsi"/>
          <w:b/>
          <w:u w:val="single"/>
          <w:lang w:val="en-GB"/>
        </w:rPr>
        <w:t>Reasons for deviation from the target</w:t>
      </w:r>
      <w:r>
        <w:rPr>
          <w:rFonts w:cstheme="minorHAnsi"/>
        </w:rPr>
        <w:t>  </w:t>
      </w:r>
    </w:p>
    <w:p w14:paraId="212C328C">
      <w:pPr>
        <w:spacing w:line="276" w:lineRule="auto"/>
        <w:rPr>
          <w:rFonts w:cstheme="minorHAnsi"/>
        </w:rPr>
      </w:pPr>
      <w:r>
        <w:rPr>
          <w:rFonts w:cstheme="minorHAnsi"/>
        </w:rPr>
        <w:t>  </w:t>
      </w:r>
    </w:p>
    <w:p w14:paraId="379BE5AC">
      <w:pPr>
        <w:spacing w:line="276" w:lineRule="auto"/>
        <w:rPr>
          <w:rFonts w:cstheme="minorHAnsi"/>
        </w:rPr>
      </w:pPr>
      <w:r>
        <w:rPr>
          <w:rFonts w:cstheme="minorHAnsi"/>
        </w:rPr>
        <w:t>  </w:t>
      </w:r>
    </w:p>
    <w:p w14:paraId="72C6D5E4">
      <w:pPr>
        <w:spacing w:line="276" w:lineRule="auto"/>
        <w:rPr>
          <w:rFonts w:cstheme="minorHAnsi"/>
        </w:rPr>
      </w:pPr>
      <w:r>
        <w:rPr>
          <w:rFonts w:cstheme="minorHAnsi"/>
        </w:rPr>
        <w:t> </w:t>
      </w:r>
    </w:p>
    <w:p w14:paraId="3C297D9A">
      <w:pPr>
        <w:spacing w:line="276" w:lineRule="auto"/>
        <w:rPr>
          <w:rFonts w:cstheme="minorHAnsi"/>
        </w:rPr>
      </w:pPr>
    </w:p>
    <w:p w14:paraId="74A02EC5">
      <w:pPr>
        <w:spacing w:line="276" w:lineRule="auto"/>
        <w:rPr>
          <w:rFonts w:cstheme="minorHAnsi"/>
        </w:rPr>
      </w:pPr>
    </w:p>
    <w:sectPr>
      <w:foot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rial (Body)">
    <w:altName w:val="Arial"/>
    <w:panose1 w:val="00000000000000000000"/>
    <w:charset w:val="00"/>
    <w:family w:val="roman"/>
    <w:pitch w:val="default"/>
    <w:sig w:usb0="00000000" w:usb1="00000000" w:usb2="00000000" w:usb3="00000000" w:csb0="00000000" w:csb1="00000000"/>
  </w:font>
  <w:font w:name="Arial Nova">
    <w:altName w:val="Arial"/>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521021697"/>
      <w:docPartObj>
        <w:docPartGallery w:val="AutoText"/>
      </w:docPartObj>
    </w:sdtPr>
    <w:sdtEndPr>
      <w:rPr>
        <w:sz w:val="16"/>
        <w:szCs w:val="16"/>
      </w:rPr>
    </w:sdtEndPr>
    <w:sdtContent>
      <w:p w14:paraId="0F12FE54">
        <w:pPr>
          <w:pStyle w:val="17"/>
          <w:jc w:val="right"/>
          <w:rPr>
            <w:sz w:val="16"/>
            <w:szCs w:val="16"/>
          </w:rPr>
        </w:pPr>
        <w:r>
          <w:rPr>
            <w:sz w:val="16"/>
            <w:szCs w:val="16"/>
          </w:rPr>
          <w:t xml:space="preserve">Page |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154CD"/>
    <w:multiLevelType w:val="multilevel"/>
    <w:tmpl w:val="01E154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89F77CA"/>
    <w:multiLevelType w:val="multilevel"/>
    <w:tmpl w:val="089F77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9507AEB"/>
    <w:multiLevelType w:val="multilevel"/>
    <w:tmpl w:val="09507A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BB42948"/>
    <w:multiLevelType w:val="multilevel"/>
    <w:tmpl w:val="0BB429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C500A27"/>
    <w:multiLevelType w:val="multilevel"/>
    <w:tmpl w:val="0C500A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4541C69"/>
    <w:multiLevelType w:val="multilevel"/>
    <w:tmpl w:val="14541C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71118FE"/>
    <w:multiLevelType w:val="multilevel"/>
    <w:tmpl w:val="171118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1B3F670B"/>
    <w:multiLevelType w:val="multilevel"/>
    <w:tmpl w:val="1B3F67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BC62014"/>
    <w:multiLevelType w:val="multilevel"/>
    <w:tmpl w:val="1BC62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254A721D"/>
    <w:multiLevelType w:val="multilevel"/>
    <w:tmpl w:val="254A72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25AD0F5A"/>
    <w:multiLevelType w:val="multilevel"/>
    <w:tmpl w:val="25AD0F5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2C6F5327"/>
    <w:multiLevelType w:val="multilevel"/>
    <w:tmpl w:val="2C6F53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32E71429"/>
    <w:multiLevelType w:val="multilevel"/>
    <w:tmpl w:val="32E714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414C3092"/>
    <w:multiLevelType w:val="multilevel"/>
    <w:tmpl w:val="414C3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48522B64"/>
    <w:multiLevelType w:val="multilevel"/>
    <w:tmpl w:val="48522B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489C50C6"/>
    <w:multiLevelType w:val="multilevel"/>
    <w:tmpl w:val="489C50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4C6F0C43"/>
    <w:multiLevelType w:val="multilevel"/>
    <w:tmpl w:val="4C6F0C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50A925F4"/>
    <w:multiLevelType w:val="multilevel"/>
    <w:tmpl w:val="50A925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51BB4AAC"/>
    <w:multiLevelType w:val="multilevel"/>
    <w:tmpl w:val="51BB4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563D236C"/>
    <w:multiLevelType w:val="multilevel"/>
    <w:tmpl w:val="563D2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5DFB35BA"/>
    <w:multiLevelType w:val="multilevel"/>
    <w:tmpl w:val="5DFB35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6187530B"/>
    <w:multiLevelType w:val="multilevel"/>
    <w:tmpl w:val="618753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624E3878"/>
    <w:multiLevelType w:val="multilevel"/>
    <w:tmpl w:val="624E38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3">
    <w:nsid w:val="65F5376B"/>
    <w:multiLevelType w:val="multilevel"/>
    <w:tmpl w:val="65F537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6843A9DE"/>
    <w:multiLevelType w:val="multilevel"/>
    <w:tmpl w:val="6843A9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5">
    <w:nsid w:val="6BC4187F"/>
    <w:multiLevelType w:val="multilevel"/>
    <w:tmpl w:val="6BC418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70C92CFE"/>
    <w:multiLevelType w:val="multilevel"/>
    <w:tmpl w:val="70C92C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73A6773B"/>
    <w:multiLevelType w:val="multilevel"/>
    <w:tmpl w:val="73A677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756213DC"/>
    <w:multiLevelType w:val="multilevel"/>
    <w:tmpl w:val="75621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5"/>
  </w:num>
  <w:num w:numId="2">
    <w:abstractNumId w:val="1"/>
  </w:num>
  <w:num w:numId="3">
    <w:abstractNumId w:val="21"/>
  </w:num>
  <w:num w:numId="4">
    <w:abstractNumId w:val="26"/>
  </w:num>
  <w:num w:numId="5">
    <w:abstractNumId w:val="16"/>
  </w:num>
  <w:num w:numId="6">
    <w:abstractNumId w:val="28"/>
  </w:num>
  <w:num w:numId="7">
    <w:abstractNumId w:val="2"/>
  </w:num>
  <w:num w:numId="8">
    <w:abstractNumId w:val="15"/>
  </w:num>
  <w:num w:numId="9">
    <w:abstractNumId w:val="12"/>
  </w:num>
  <w:num w:numId="10">
    <w:abstractNumId w:val="5"/>
  </w:num>
  <w:num w:numId="11">
    <w:abstractNumId w:val="27"/>
  </w:num>
  <w:num w:numId="12">
    <w:abstractNumId w:val="19"/>
  </w:num>
  <w:num w:numId="13">
    <w:abstractNumId w:val="17"/>
  </w:num>
  <w:num w:numId="14">
    <w:abstractNumId w:val="14"/>
  </w:num>
  <w:num w:numId="15">
    <w:abstractNumId w:val="20"/>
  </w:num>
  <w:num w:numId="16">
    <w:abstractNumId w:val="23"/>
  </w:num>
  <w:num w:numId="17">
    <w:abstractNumId w:val="11"/>
  </w:num>
  <w:num w:numId="18">
    <w:abstractNumId w:val="4"/>
  </w:num>
  <w:num w:numId="19">
    <w:abstractNumId w:val="3"/>
  </w:num>
  <w:num w:numId="20">
    <w:abstractNumId w:val="18"/>
  </w:num>
  <w:num w:numId="21">
    <w:abstractNumId w:val="6"/>
  </w:num>
  <w:num w:numId="22">
    <w:abstractNumId w:val="0"/>
  </w:num>
  <w:num w:numId="23">
    <w:abstractNumId w:val="10"/>
  </w:num>
  <w:num w:numId="24">
    <w:abstractNumId w:val="22"/>
  </w:num>
  <w:num w:numId="25">
    <w:abstractNumId w:val="24"/>
  </w:num>
  <w:num w:numId="26">
    <w:abstractNumId w:val="7"/>
  </w:num>
  <w:num w:numId="27">
    <w:abstractNumId w:val="9"/>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6B"/>
    <w:rsid w:val="00002E25"/>
    <w:rsid w:val="00005F9D"/>
    <w:rsid w:val="0001031B"/>
    <w:rsid w:val="00024E81"/>
    <w:rsid w:val="000358A7"/>
    <w:rsid w:val="00035F13"/>
    <w:rsid w:val="00036A66"/>
    <w:rsid w:val="0004306D"/>
    <w:rsid w:val="00045826"/>
    <w:rsid w:val="00054E4F"/>
    <w:rsid w:val="00055F92"/>
    <w:rsid w:val="000568F1"/>
    <w:rsid w:val="0006015F"/>
    <w:rsid w:val="000632DE"/>
    <w:rsid w:val="00072376"/>
    <w:rsid w:val="000758AC"/>
    <w:rsid w:val="000832E4"/>
    <w:rsid w:val="0008E7A1"/>
    <w:rsid w:val="00094AD3"/>
    <w:rsid w:val="000A07B4"/>
    <w:rsid w:val="000A1F91"/>
    <w:rsid w:val="000B1B18"/>
    <w:rsid w:val="000B49B8"/>
    <w:rsid w:val="000C2248"/>
    <w:rsid w:val="000C2293"/>
    <w:rsid w:val="000C42B1"/>
    <w:rsid w:val="000C6666"/>
    <w:rsid w:val="000C7B8B"/>
    <w:rsid w:val="000D28F5"/>
    <w:rsid w:val="000D66B7"/>
    <w:rsid w:val="000D67FE"/>
    <w:rsid w:val="000D6F89"/>
    <w:rsid w:val="000E26A3"/>
    <w:rsid w:val="000E6F5D"/>
    <w:rsid w:val="000F3847"/>
    <w:rsid w:val="00102883"/>
    <w:rsid w:val="0010428F"/>
    <w:rsid w:val="0010475B"/>
    <w:rsid w:val="0010E5F8"/>
    <w:rsid w:val="00110F00"/>
    <w:rsid w:val="00121B2C"/>
    <w:rsid w:val="001225A8"/>
    <w:rsid w:val="00133A27"/>
    <w:rsid w:val="001413E9"/>
    <w:rsid w:val="00142A1A"/>
    <w:rsid w:val="00142B9F"/>
    <w:rsid w:val="001468C6"/>
    <w:rsid w:val="0015108C"/>
    <w:rsid w:val="00165F5B"/>
    <w:rsid w:val="0016773D"/>
    <w:rsid w:val="001678BB"/>
    <w:rsid w:val="001810EB"/>
    <w:rsid w:val="00194F7D"/>
    <w:rsid w:val="00195FC1"/>
    <w:rsid w:val="001A0B07"/>
    <w:rsid w:val="001B31BB"/>
    <w:rsid w:val="001B4732"/>
    <w:rsid w:val="001D3BC9"/>
    <w:rsid w:val="001D5E01"/>
    <w:rsid w:val="001E1E2C"/>
    <w:rsid w:val="001E5EC5"/>
    <w:rsid w:val="001F2A38"/>
    <w:rsid w:val="002045E4"/>
    <w:rsid w:val="00205288"/>
    <w:rsid w:val="00207590"/>
    <w:rsid w:val="0020E6A7"/>
    <w:rsid w:val="00213791"/>
    <w:rsid w:val="00216ABA"/>
    <w:rsid w:val="00216F51"/>
    <w:rsid w:val="00227E10"/>
    <w:rsid w:val="00231B7F"/>
    <w:rsid w:val="002331BA"/>
    <w:rsid w:val="00235C0A"/>
    <w:rsid w:val="00237E50"/>
    <w:rsid w:val="00240C06"/>
    <w:rsid w:val="00241EC7"/>
    <w:rsid w:val="00247CE0"/>
    <w:rsid w:val="002518B7"/>
    <w:rsid w:val="00252346"/>
    <w:rsid w:val="00261AEB"/>
    <w:rsid w:val="00271596"/>
    <w:rsid w:val="002743B7"/>
    <w:rsid w:val="00281F42"/>
    <w:rsid w:val="00291406"/>
    <w:rsid w:val="00292516"/>
    <w:rsid w:val="00297343"/>
    <w:rsid w:val="002C3246"/>
    <w:rsid w:val="002C6165"/>
    <w:rsid w:val="002D6872"/>
    <w:rsid w:val="002E1AFB"/>
    <w:rsid w:val="002E5229"/>
    <w:rsid w:val="002F1B14"/>
    <w:rsid w:val="002F2368"/>
    <w:rsid w:val="00301DCF"/>
    <w:rsid w:val="00304560"/>
    <w:rsid w:val="00304C3F"/>
    <w:rsid w:val="00310961"/>
    <w:rsid w:val="00317A27"/>
    <w:rsid w:val="00321613"/>
    <w:rsid w:val="003216A3"/>
    <w:rsid w:val="00321EA7"/>
    <w:rsid w:val="00324292"/>
    <w:rsid w:val="00325436"/>
    <w:rsid w:val="00327B38"/>
    <w:rsid w:val="003473EF"/>
    <w:rsid w:val="003501FA"/>
    <w:rsid w:val="00350C89"/>
    <w:rsid w:val="00352915"/>
    <w:rsid w:val="00361381"/>
    <w:rsid w:val="003617DD"/>
    <w:rsid w:val="003747FE"/>
    <w:rsid w:val="00377E4A"/>
    <w:rsid w:val="00381BB5"/>
    <w:rsid w:val="00382125"/>
    <w:rsid w:val="0038354C"/>
    <w:rsid w:val="00391324"/>
    <w:rsid w:val="00391CBD"/>
    <w:rsid w:val="003A5824"/>
    <w:rsid w:val="003B0ECF"/>
    <w:rsid w:val="003B0ED8"/>
    <w:rsid w:val="003B4680"/>
    <w:rsid w:val="003B4FFE"/>
    <w:rsid w:val="003B6C69"/>
    <w:rsid w:val="003C437C"/>
    <w:rsid w:val="003D58D8"/>
    <w:rsid w:val="003F1871"/>
    <w:rsid w:val="003F3F00"/>
    <w:rsid w:val="004032F0"/>
    <w:rsid w:val="00404C0D"/>
    <w:rsid w:val="004070DA"/>
    <w:rsid w:val="00410746"/>
    <w:rsid w:val="00411957"/>
    <w:rsid w:val="004141E4"/>
    <w:rsid w:val="00414364"/>
    <w:rsid w:val="00417A89"/>
    <w:rsid w:val="0041D4D3"/>
    <w:rsid w:val="004207A0"/>
    <w:rsid w:val="0042166C"/>
    <w:rsid w:val="00421820"/>
    <w:rsid w:val="0042209E"/>
    <w:rsid w:val="00422790"/>
    <w:rsid w:val="00422E75"/>
    <w:rsid w:val="00423D95"/>
    <w:rsid w:val="00431058"/>
    <w:rsid w:val="00437DBE"/>
    <w:rsid w:val="00442A82"/>
    <w:rsid w:val="004431B1"/>
    <w:rsid w:val="00443A2E"/>
    <w:rsid w:val="0045264D"/>
    <w:rsid w:val="0045537E"/>
    <w:rsid w:val="00456C6A"/>
    <w:rsid w:val="00460A8E"/>
    <w:rsid w:val="004629F4"/>
    <w:rsid w:val="00471656"/>
    <w:rsid w:val="00473B08"/>
    <w:rsid w:val="004775D0"/>
    <w:rsid w:val="004862A1"/>
    <w:rsid w:val="004872B4"/>
    <w:rsid w:val="004908B1"/>
    <w:rsid w:val="004928B0"/>
    <w:rsid w:val="004A6288"/>
    <w:rsid w:val="004B6C5B"/>
    <w:rsid w:val="004C62D4"/>
    <w:rsid w:val="004C7C18"/>
    <w:rsid w:val="004E03FA"/>
    <w:rsid w:val="004E0E92"/>
    <w:rsid w:val="004E1CD8"/>
    <w:rsid w:val="004E2464"/>
    <w:rsid w:val="004E62EC"/>
    <w:rsid w:val="004F455F"/>
    <w:rsid w:val="004F7B68"/>
    <w:rsid w:val="00500706"/>
    <w:rsid w:val="005022BC"/>
    <w:rsid w:val="00506679"/>
    <w:rsid w:val="00514C63"/>
    <w:rsid w:val="0052608E"/>
    <w:rsid w:val="0053225A"/>
    <w:rsid w:val="00533C9C"/>
    <w:rsid w:val="005358BC"/>
    <w:rsid w:val="0054174B"/>
    <w:rsid w:val="00546CFD"/>
    <w:rsid w:val="0054785A"/>
    <w:rsid w:val="00550250"/>
    <w:rsid w:val="00552FC6"/>
    <w:rsid w:val="00553046"/>
    <w:rsid w:val="00570EE1"/>
    <w:rsid w:val="005712D8"/>
    <w:rsid w:val="005767CE"/>
    <w:rsid w:val="0057742E"/>
    <w:rsid w:val="00577E1B"/>
    <w:rsid w:val="00585359"/>
    <w:rsid w:val="0058644E"/>
    <w:rsid w:val="00587539"/>
    <w:rsid w:val="00591FF7"/>
    <w:rsid w:val="005966B9"/>
    <w:rsid w:val="005C1A3B"/>
    <w:rsid w:val="005C4D8C"/>
    <w:rsid w:val="005D5FE8"/>
    <w:rsid w:val="005F0D3D"/>
    <w:rsid w:val="005F7E00"/>
    <w:rsid w:val="00604944"/>
    <w:rsid w:val="00605761"/>
    <w:rsid w:val="006154AD"/>
    <w:rsid w:val="00616AEC"/>
    <w:rsid w:val="00624407"/>
    <w:rsid w:val="00634029"/>
    <w:rsid w:val="0064012F"/>
    <w:rsid w:val="0065210A"/>
    <w:rsid w:val="00655310"/>
    <w:rsid w:val="0066380D"/>
    <w:rsid w:val="006656AC"/>
    <w:rsid w:val="006708A0"/>
    <w:rsid w:val="006804FD"/>
    <w:rsid w:val="00687C4F"/>
    <w:rsid w:val="006908A7"/>
    <w:rsid w:val="00695FF4"/>
    <w:rsid w:val="0069772F"/>
    <w:rsid w:val="006A6CFE"/>
    <w:rsid w:val="006A6E88"/>
    <w:rsid w:val="006A7808"/>
    <w:rsid w:val="006B1B86"/>
    <w:rsid w:val="006B422D"/>
    <w:rsid w:val="006B45EE"/>
    <w:rsid w:val="006C17EB"/>
    <w:rsid w:val="006C4B37"/>
    <w:rsid w:val="006D30CB"/>
    <w:rsid w:val="006D4BF2"/>
    <w:rsid w:val="006E62A3"/>
    <w:rsid w:val="006E7F29"/>
    <w:rsid w:val="006F6A1A"/>
    <w:rsid w:val="00702AC3"/>
    <w:rsid w:val="007066B3"/>
    <w:rsid w:val="00715C75"/>
    <w:rsid w:val="00721D8F"/>
    <w:rsid w:val="00731239"/>
    <w:rsid w:val="00744AC5"/>
    <w:rsid w:val="007457A2"/>
    <w:rsid w:val="007460D3"/>
    <w:rsid w:val="007563D4"/>
    <w:rsid w:val="00756D6B"/>
    <w:rsid w:val="007646E8"/>
    <w:rsid w:val="00781114"/>
    <w:rsid w:val="007843D3"/>
    <w:rsid w:val="00792AD5"/>
    <w:rsid w:val="007930C1"/>
    <w:rsid w:val="007A6D0F"/>
    <w:rsid w:val="007A796E"/>
    <w:rsid w:val="007B4C07"/>
    <w:rsid w:val="007B755F"/>
    <w:rsid w:val="007B75EB"/>
    <w:rsid w:val="007C3751"/>
    <w:rsid w:val="007D50B4"/>
    <w:rsid w:val="007D67D0"/>
    <w:rsid w:val="007E1174"/>
    <w:rsid w:val="007E32B5"/>
    <w:rsid w:val="007E7F76"/>
    <w:rsid w:val="007F1264"/>
    <w:rsid w:val="007F7CB2"/>
    <w:rsid w:val="008128A8"/>
    <w:rsid w:val="00814328"/>
    <w:rsid w:val="008148A0"/>
    <w:rsid w:val="0081520F"/>
    <w:rsid w:val="008162E2"/>
    <w:rsid w:val="00816D02"/>
    <w:rsid w:val="00817A9C"/>
    <w:rsid w:val="0082612E"/>
    <w:rsid w:val="0082648C"/>
    <w:rsid w:val="00836E70"/>
    <w:rsid w:val="00837761"/>
    <w:rsid w:val="00845DD8"/>
    <w:rsid w:val="00856227"/>
    <w:rsid w:val="00860326"/>
    <w:rsid w:val="0086317F"/>
    <w:rsid w:val="00865DDB"/>
    <w:rsid w:val="0086E932"/>
    <w:rsid w:val="00894C12"/>
    <w:rsid w:val="008A0864"/>
    <w:rsid w:val="008C2985"/>
    <w:rsid w:val="008C5C87"/>
    <w:rsid w:val="008C6CD0"/>
    <w:rsid w:val="008D09DD"/>
    <w:rsid w:val="008D0E3E"/>
    <w:rsid w:val="008D17EE"/>
    <w:rsid w:val="008E30D1"/>
    <w:rsid w:val="008E49FE"/>
    <w:rsid w:val="008E4F7C"/>
    <w:rsid w:val="008E68B2"/>
    <w:rsid w:val="008F149F"/>
    <w:rsid w:val="008F51D4"/>
    <w:rsid w:val="00902013"/>
    <w:rsid w:val="009025DA"/>
    <w:rsid w:val="00903373"/>
    <w:rsid w:val="00905099"/>
    <w:rsid w:val="00906A76"/>
    <w:rsid w:val="0091423D"/>
    <w:rsid w:val="00915D15"/>
    <w:rsid w:val="00922FFA"/>
    <w:rsid w:val="009306CC"/>
    <w:rsid w:val="00932A31"/>
    <w:rsid w:val="009334A5"/>
    <w:rsid w:val="0094378E"/>
    <w:rsid w:val="0094699E"/>
    <w:rsid w:val="009477DA"/>
    <w:rsid w:val="00956653"/>
    <w:rsid w:val="00961AA0"/>
    <w:rsid w:val="00964663"/>
    <w:rsid w:val="00964B71"/>
    <w:rsid w:val="00972369"/>
    <w:rsid w:val="00976EE5"/>
    <w:rsid w:val="00977AA9"/>
    <w:rsid w:val="00991A83"/>
    <w:rsid w:val="00994AA4"/>
    <w:rsid w:val="00995332"/>
    <w:rsid w:val="009A4DEA"/>
    <w:rsid w:val="009D6723"/>
    <w:rsid w:val="009D7DD2"/>
    <w:rsid w:val="009E3126"/>
    <w:rsid w:val="009E551A"/>
    <w:rsid w:val="009E57A9"/>
    <w:rsid w:val="009F3123"/>
    <w:rsid w:val="009F5963"/>
    <w:rsid w:val="00A002D8"/>
    <w:rsid w:val="00A01515"/>
    <w:rsid w:val="00A05AE8"/>
    <w:rsid w:val="00A07425"/>
    <w:rsid w:val="00A0EA0D"/>
    <w:rsid w:val="00A14829"/>
    <w:rsid w:val="00A369A1"/>
    <w:rsid w:val="00A40BDD"/>
    <w:rsid w:val="00A42508"/>
    <w:rsid w:val="00A43ACB"/>
    <w:rsid w:val="00A44A10"/>
    <w:rsid w:val="00A5462B"/>
    <w:rsid w:val="00A56365"/>
    <w:rsid w:val="00A6245C"/>
    <w:rsid w:val="00A8365B"/>
    <w:rsid w:val="00A84590"/>
    <w:rsid w:val="00A86DE3"/>
    <w:rsid w:val="00A8794E"/>
    <w:rsid w:val="00AA099F"/>
    <w:rsid w:val="00AA3392"/>
    <w:rsid w:val="00AB338D"/>
    <w:rsid w:val="00AB50CD"/>
    <w:rsid w:val="00AB774E"/>
    <w:rsid w:val="00AB7E6B"/>
    <w:rsid w:val="00AC0306"/>
    <w:rsid w:val="00AC2E73"/>
    <w:rsid w:val="00AD040E"/>
    <w:rsid w:val="00AD06BB"/>
    <w:rsid w:val="00AD1EF7"/>
    <w:rsid w:val="00AD1F44"/>
    <w:rsid w:val="00AD2731"/>
    <w:rsid w:val="00AD3C0B"/>
    <w:rsid w:val="00AD5751"/>
    <w:rsid w:val="00AE126D"/>
    <w:rsid w:val="00AE424A"/>
    <w:rsid w:val="00AE6DE7"/>
    <w:rsid w:val="00AF3750"/>
    <w:rsid w:val="00AF412B"/>
    <w:rsid w:val="00B00336"/>
    <w:rsid w:val="00B05702"/>
    <w:rsid w:val="00B16558"/>
    <w:rsid w:val="00B20629"/>
    <w:rsid w:val="00B25C73"/>
    <w:rsid w:val="00B26E79"/>
    <w:rsid w:val="00B2768F"/>
    <w:rsid w:val="00B30A90"/>
    <w:rsid w:val="00B6179E"/>
    <w:rsid w:val="00B63943"/>
    <w:rsid w:val="00B64BE4"/>
    <w:rsid w:val="00B64F0D"/>
    <w:rsid w:val="00B77083"/>
    <w:rsid w:val="00B772A2"/>
    <w:rsid w:val="00B8235D"/>
    <w:rsid w:val="00B86B79"/>
    <w:rsid w:val="00BA2F84"/>
    <w:rsid w:val="00BA4B9E"/>
    <w:rsid w:val="00BA6363"/>
    <w:rsid w:val="00BA696E"/>
    <w:rsid w:val="00BA6F65"/>
    <w:rsid w:val="00BB3431"/>
    <w:rsid w:val="00BC29CE"/>
    <w:rsid w:val="00BC384B"/>
    <w:rsid w:val="00BC3DD9"/>
    <w:rsid w:val="00BC7613"/>
    <w:rsid w:val="00BD2677"/>
    <w:rsid w:val="00BD3D83"/>
    <w:rsid w:val="00BE3C05"/>
    <w:rsid w:val="00BE5225"/>
    <w:rsid w:val="00BE6213"/>
    <w:rsid w:val="00BE6A0B"/>
    <w:rsid w:val="00BE7D88"/>
    <w:rsid w:val="00BF4816"/>
    <w:rsid w:val="00BF632F"/>
    <w:rsid w:val="00C32C25"/>
    <w:rsid w:val="00C34D26"/>
    <w:rsid w:val="00C400B7"/>
    <w:rsid w:val="00C45E25"/>
    <w:rsid w:val="00C54E5A"/>
    <w:rsid w:val="00C6566C"/>
    <w:rsid w:val="00C76897"/>
    <w:rsid w:val="00CB0D43"/>
    <w:rsid w:val="00CB64B1"/>
    <w:rsid w:val="00CC3E60"/>
    <w:rsid w:val="00CC4A17"/>
    <w:rsid w:val="00CC78DC"/>
    <w:rsid w:val="00CD0BC8"/>
    <w:rsid w:val="00CD7430"/>
    <w:rsid w:val="00CF31C4"/>
    <w:rsid w:val="00CF4AA0"/>
    <w:rsid w:val="00CF6D4C"/>
    <w:rsid w:val="00D017F8"/>
    <w:rsid w:val="00D04B33"/>
    <w:rsid w:val="00D101ED"/>
    <w:rsid w:val="00D10E49"/>
    <w:rsid w:val="00D11D23"/>
    <w:rsid w:val="00D26231"/>
    <w:rsid w:val="00D2721E"/>
    <w:rsid w:val="00D305E2"/>
    <w:rsid w:val="00D32043"/>
    <w:rsid w:val="00D374AF"/>
    <w:rsid w:val="00D46419"/>
    <w:rsid w:val="00D46C50"/>
    <w:rsid w:val="00D5400E"/>
    <w:rsid w:val="00D55C19"/>
    <w:rsid w:val="00D60B97"/>
    <w:rsid w:val="00D64168"/>
    <w:rsid w:val="00D72EE2"/>
    <w:rsid w:val="00D7364B"/>
    <w:rsid w:val="00D837D1"/>
    <w:rsid w:val="00D83C09"/>
    <w:rsid w:val="00D94669"/>
    <w:rsid w:val="00DA0189"/>
    <w:rsid w:val="00DA3E67"/>
    <w:rsid w:val="00DB2505"/>
    <w:rsid w:val="00DB4C27"/>
    <w:rsid w:val="00DB53A7"/>
    <w:rsid w:val="00DC54FA"/>
    <w:rsid w:val="00DC5F56"/>
    <w:rsid w:val="00DD0FF2"/>
    <w:rsid w:val="00DD6FA5"/>
    <w:rsid w:val="00DE0323"/>
    <w:rsid w:val="00DE2972"/>
    <w:rsid w:val="00DE7305"/>
    <w:rsid w:val="00DE79E4"/>
    <w:rsid w:val="00DF2261"/>
    <w:rsid w:val="00DF2BF5"/>
    <w:rsid w:val="00DF51CD"/>
    <w:rsid w:val="00DF536F"/>
    <w:rsid w:val="00DF5539"/>
    <w:rsid w:val="00E072D6"/>
    <w:rsid w:val="00E12194"/>
    <w:rsid w:val="00E153A2"/>
    <w:rsid w:val="00E22D6F"/>
    <w:rsid w:val="00E37487"/>
    <w:rsid w:val="00E4035D"/>
    <w:rsid w:val="00E41B1B"/>
    <w:rsid w:val="00E45DC7"/>
    <w:rsid w:val="00E46265"/>
    <w:rsid w:val="00E56970"/>
    <w:rsid w:val="00E56D44"/>
    <w:rsid w:val="00E75C18"/>
    <w:rsid w:val="00E76545"/>
    <w:rsid w:val="00E8A0D7"/>
    <w:rsid w:val="00E95DFB"/>
    <w:rsid w:val="00EA07C5"/>
    <w:rsid w:val="00EA5A47"/>
    <w:rsid w:val="00EB09B4"/>
    <w:rsid w:val="00EB2B1E"/>
    <w:rsid w:val="00EC17EA"/>
    <w:rsid w:val="00ED153A"/>
    <w:rsid w:val="00EE0815"/>
    <w:rsid w:val="00EE4CD8"/>
    <w:rsid w:val="00EE7C69"/>
    <w:rsid w:val="00EF3FC9"/>
    <w:rsid w:val="00F22C93"/>
    <w:rsid w:val="00F25985"/>
    <w:rsid w:val="00F26059"/>
    <w:rsid w:val="00F270BA"/>
    <w:rsid w:val="00F36F27"/>
    <w:rsid w:val="00F37B17"/>
    <w:rsid w:val="00F40EF9"/>
    <w:rsid w:val="00F42D27"/>
    <w:rsid w:val="00F47DD5"/>
    <w:rsid w:val="00F52D47"/>
    <w:rsid w:val="00F55F53"/>
    <w:rsid w:val="00F6458A"/>
    <w:rsid w:val="00F73587"/>
    <w:rsid w:val="00F93DA9"/>
    <w:rsid w:val="00FA37D9"/>
    <w:rsid w:val="00FB3A2A"/>
    <w:rsid w:val="00FB3D06"/>
    <w:rsid w:val="00FB62A9"/>
    <w:rsid w:val="00FC182D"/>
    <w:rsid w:val="00FC694D"/>
    <w:rsid w:val="00FD07F2"/>
    <w:rsid w:val="00FD2E5A"/>
    <w:rsid w:val="00FE2E6D"/>
    <w:rsid w:val="00FE6A19"/>
    <w:rsid w:val="00FF25EC"/>
    <w:rsid w:val="01015834"/>
    <w:rsid w:val="0103C3D3"/>
    <w:rsid w:val="010ECCFE"/>
    <w:rsid w:val="012DCC8F"/>
    <w:rsid w:val="0169956B"/>
    <w:rsid w:val="01872E59"/>
    <w:rsid w:val="018BE799"/>
    <w:rsid w:val="0197AF01"/>
    <w:rsid w:val="019A5AD8"/>
    <w:rsid w:val="019C8945"/>
    <w:rsid w:val="01A754D8"/>
    <w:rsid w:val="01B56963"/>
    <w:rsid w:val="01BCCA96"/>
    <w:rsid w:val="01C1902F"/>
    <w:rsid w:val="01ED4DE7"/>
    <w:rsid w:val="02057981"/>
    <w:rsid w:val="0209AA38"/>
    <w:rsid w:val="02119C03"/>
    <w:rsid w:val="021AF0EA"/>
    <w:rsid w:val="0252D7D1"/>
    <w:rsid w:val="02537797"/>
    <w:rsid w:val="02562153"/>
    <w:rsid w:val="025E4AB1"/>
    <w:rsid w:val="026A7999"/>
    <w:rsid w:val="027140DB"/>
    <w:rsid w:val="0272A3F8"/>
    <w:rsid w:val="028C689C"/>
    <w:rsid w:val="02CC4668"/>
    <w:rsid w:val="02CD1371"/>
    <w:rsid w:val="02E5524D"/>
    <w:rsid w:val="02EBB3FE"/>
    <w:rsid w:val="02FEA53C"/>
    <w:rsid w:val="0319AE69"/>
    <w:rsid w:val="032C2B51"/>
    <w:rsid w:val="036E2110"/>
    <w:rsid w:val="0375CC45"/>
    <w:rsid w:val="03836D81"/>
    <w:rsid w:val="03903A21"/>
    <w:rsid w:val="03FE09CA"/>
    <w:rsid w:val="041A3EE4"/>
    <w:rsid w:val="04268976"/>
    <w:rsid w:val="04313F3C"/>
    <w:rsid w:val="043DD5A7"/>
    <w:rsid w:val="0440F21E"/>
    <w:rsid w:val="04426BC0"/>
    <w:rsid w:val="04431EBE"/>
    <w:rsid w:val="044A4F80"/>
    <w:rsid w:val="0450376C"/>
    <w:rsid w:val="04596D39"/>
    <w:rsid w:val="045C70F9"/>
    <w:rsid w:val="0462231C"/>
    <w:rsid w:val="046D57C1"/>
    <w:rsid w:val="047621EF"/>
    <w:rsid w:val="047BA06C"/>
    <w:rsid w:val="049364E7"/>
    <w:rsid w:val="0499F097"/>
    <w:rsid w:val="049FFF28"/>
    <w:rsid w:val="04A3A24C"/>
    <w:rsid w:val="04C5B0B7"/>
    <w:rsid w:val="04D3B97B"/>
    <w:rsid w:val="04D68EEE"/>
    <w:rsid w:val="04DC4678"/>
    <w:rsid w:val="05069EB4"/>
    <w:rsid w:val="051AE6A2"/>
    <w:rsid w:val="0529623A"/>
    <w:rsid w:val="0529D9C0"/>
    <w:rsid w:val="05356116"/>
    <w:rsid w:val="05430F78"/>
    <w:rsid w:val="055295F4"/>
    <w:rsid w:val="056EA436"/>
    <w:rsid w:val="057CC7EF"/>
    <w:rsid w:val="0581F476"/>
    <w:rsid w:val="0598A938"/>
    <w:rsid w:val="059F676A"/>
    <w:rsid w:val="05A4A4CF"/>
    <w:rsid w:val="05C97E2E"/>
    <w:rsid w:val="05CD70AE"/>
    <w:rsid w:val="05D42F03"/>
    <w:rsid w:val="05F0575E"/>
    <w:rsid w:val="06076433"/>
    <w:rsid w:val="060E21D7"/>
    <w:rsid w:val="061414EE"/>
    <w:rsid w:val="06147575"/>
    <w:rsid w:val="0638CFC4"/>
    <w:rsid w:val="063A07CD"/>
    <w:rsid w:val="064E37A9"/>
    <w:rsid w:val="065F77DD"/>
    <w:rsid w:val="0664D85A"/>
    <w:rsid w:val="067828FF"/>
    <w:rsid w:val="067CD77A"/>
    <w:rsid w:val="068AC1F1"/>
    <w:rsid w:val="068FDF74"/>
    <w:rsid w:val="069FE299"/>
    <w:rsid w:val="06A3538B"/>
    <w:rsid w:val="06A701D3"/>
    <w:rsid w:val="06C087ED"/>
    <w:rsid w:val="06DB5B07"/>
    <w:rsid w:val="06E7F295"/>
    <w:rsid w:val="071F04AC"/>
    <w:rsid w:val="072933DA"/>
    <w:rsid w:val="072CF007"/>
    <w:rsid w:val="073001F4"/>
    <w:rsid w:val="0732627C"/>
    <w:rsid w:val="07398CDD"/>
    <w:rsid w:val="073D9856"/>
    <w:rsid w:val="075D2C38"/>
    <w:rsid w:val="07664307"/>
    <w:rsid w:val="076F5135"/>
    <w:rsid w:val="077FA7BE"/>
    <w:rsid w:val="07869540"/>
    <w:rsid w:val="07971ABF"/>
    <w:rsid w:val="07A6D28C"/>
    <w:rsid w:val="07C354EB"/>
    <w:rsid w:val="07ED1464"/>
    <w:rsid w:val="07EF50FC"/>
    <w:rsid w:val="0811E673"/>
    <w:rsid w:val="08153000"/>
    <w:rsid w:val="08245FB0"/>
    <w:rsid w:val="083E1536"/>
    <w:rsid w:val="084512A9"/>
    <w:rsid w:val="0847F420"/>
    <w:rsid w:val="084B7BAF"/>
    <w:rsid w:val="085426D5"/>
    <w:rsid w:val="08548F12"/>
    <w:rsid w:val="085D15B0"/>
    <w:rsid w:val="086B3AEC"/>
    <w:rsid w:val="0879E98F"/>
    <w:rsid w:val="08A91E15"/>
    <w:rsid w:val="08AB5B55"/>
    <w:rsid w:val="08ADDADB"/>
    <w:rsid w:val="08C23D5D"/>
    <w:rsid w:val="08CC18EA"/>
    <w:rsid w:val="08ED60A5"/>
    <w:rsid w:val="08F416EC"/>
    <w:rsid w:val="08F4B2A8"/>
    <w:rsid w:val="0902097E"/>
    <w:rsid w:val="0903A862"/>
    <w:rsid w:val="091E5296"/>
    <w:rsid w:val="09836D40"/>
    <w:rsid w:val="0993F670"/>
    <w:rsid w:val="099DB0EF"/>
    <w:rsid w:val="09AAB036"/>
    <w:rsid w:val="09AF4853"/>
    <w:rsid w:val="09B5F421"/>
    <w:rsid w:val="09C6B9A1"/>
    <w:rsid w:val="09DA6DBA"/>
    <w:rsid w:val="09EA054F"/>
    <w:rsid w:val="09EB4992"/>
    <w:rsid w:val="09EB5A2D"/>
    <w:rsid w:val="09EFE829"/>
    <w:rsid w:val="09FAFEAF"/>
    <w:rsid w:val="0A07DFC9"/>
    <w:rsid w:val="0A131C73"/>
    <w:rsid w:val="0A16CCC1"/>
    <w:rsid w:val="0A34D52F"/>
    <w:rsid w:val="0A378701"/>
    <w:rsid w:val="0A47E578"/>
    <w:rsid w:val="0A50FB09"/>
    <w:rsid w:val="0A9662E9"/>
    <w:rsid w:val="0A97D923"/>
    <w:rsid w:val="0ABB3564"/>
    <w:rsid w:val="0ABDC1E5"/>
    <w:rsid w:val="0AE7B4B3"/>
    <w:rsid w:val="0AF2F8EA"/>
    <w:rsid w:val="0B08F8DD"/>
    <w:rsid w:val="0B1396BD"/>
    <w:rsid w:val="0B332BB0"/>
    <w:rsid w:val="0B337F7E"/>
    <w:rsid w:val="0B4501FB"/>
    <w:rsid w:val="0B57AEE7"/>
    <w:rsid w:val="0B5C5ADE"/>
    <w:rsid w:val="0B6A5917"/>
    <w:rsid w:val="0B6FFB32"/>
    <w:rsid w:val="0B74E0A3"/>
    <w:rsid w:val="0B84ED96"/>
    <w:rsid w:val="0B8DE922"/>
    <w:rsid w:val="0B9F3526"/>
    <w:rsid w:val="0BA185F6"/>
    <w:rsid w:val="0BA8B69A"/>
    <w:rsid w:val="0BAA6986"/>
    <w:rsid w:val="0BC1617C"/>
    <w:rsid w:val="0BCD52C0"/>
    <w:rsid w:val="0BF0FD37"/>
    <w:rsid w:val="0BF209BA"/>
    <w:rsid w:val="0BF282FE"/>
    <w:rsid w:val="0BF81D74"/>
    <w:rsid w:val="0C119260"/>
    <w:rsid w:val="0C184E68"/>
    <w:rsid w:val="0C2C062E"/>
    <w:rsid w:val="0C475D63"/>
    <w:rsid w:val="0C81BFC6"/>
    <w:rsid w:val="0C8B131E"/>
    <w:rsid w:val="0C8F33A3"/>
    <w:rsid w:val="0CCF5FBA"/>
    <w:rsid w:val="0CDCE9E6"/>
    <w:rsid w:val="0D0308FB"/>
    <w:rsid w:val="0D03943A"/>
    <w:rsid w:val="0D04E4B0"/>
    <w:rsid w:val="0D1890C4"/>
    <w:rsid w:val="0D218C42"/>
    <w:rsid w:val="0D367706"/>
    <w:rsid w:val="0D4886C9"/>
    <w:rsid w:val="0D54C188"/>
    <w:rsid w:val="0D83AE18"/>
    <w:rsid w:val="0D8AB642"/>
    <w:rsid w:val="0DB39D70"/>
    <w:rsid w:val="0E0463E8"/>
    <w:rsid w:val="0E04F32A"/>
    <w:rsid w:val="0E3D76FA"/>
    <w:rsid w:val="0E40EA0F"/>
    <w:rsid w:val="0E4E7102"/>
    <w:rsid w:val="0E572188"/>
    <w:rsid w:val="0E6E5401"/>
    <w:rsid w:val="0E7D96AE"/>
    <w:rsid w:val="0E90D645"/>
    <w:rsid w:val="0E932046"/>
    <w:rsid w:val="0E9E9070"/>
    <w:rsid w:val="0ECA7A7F"/>
    <w:rsid w:val="0EDB4285"/>
    <w:rsid w:val="0EF3C17A"/>
    <w:rsid w:val="0F023F3D"/>
    <w:rsid w:val="0F0AE25D"/>
    <w:rsid w:val="0F32E9E7"/>
    <w:rsid w:val="0F3AEBD9"/>
    <w:rsid w:val="0F5500D3"/>
    <w:rsid w:val="0F57B329"/>
    <w:rsid w:val="0F69A495"/>
    <w:rsid w:val="0F6D1FBC"/>
    <w:rsid w:val="0F749325"/>
    <w:rsid w:val="0F9537B4"/>
    <w:rsid w:val="0F981A5F"/>
    <w:rsid w:val="0F9EFDF9"/>
    <w:rsid w:val="0FA0EB68"/>
    <w:rsid w:val="0FA44219"/>
    <w:rsid w:val="0FB40A39"/>
    <w:rsid w:val="0FC36CD2"/>
    <w:rsid w:val="0FD94728"/>
    <w:rsid w:val="0FE402F0"/>
    <w:rsid w:val="0FEC42E9"/>
    <w:rsid w:val="0FEEEA16"/>
    <w:rsid w:val="10034B93"/>
    <w:rsid w:val="10160DDB"/>
    <w:rsid w:val="101E68D6"/>
    <w:rsid w:val="1020684C"/>
    <w:rsid w:val="1025E607"/>
    <w:rsid w:val="1028E0BC"/>
    <w:rsid w:val="103D765C"/>
    <w:rsid w:val="103DBB76"/>
    <w:rsid w:val="105D0EEA"/>
    <w:rsid w:val="107CCC0F"/>
    <w:rsid w:val="1084CB8B"/>
    <w:rsid w:val="109B5F73"/>
    <w:rsid w:val="10A67BD9"/>
    <w:rsid w:val="10A9F6E5"/>
    <w:rsid w:val="10B94984"/>
    <w:rsid w:val="10BB7E59"/>
    <w:rsid w:val="10CD0DBD"/>
    <w:rsid w:val="10CE16DA"/>
    <w:rsid w:val="10EDC8A6"/>
    <w:rsid w:val="10F7F257"/>
    <w:rsid w:val="10FA954B"/>
    <w:rsid w:val="111B51F1"/>
    <w:rsid w:val="11248BFA"/>
    <w:rsid w:val="112F0D95"/>
    <w:rsid w:val="112FF9D9"/>
    <w:rsid w:val="11307CEC"/>
    <w:rsid w:val="11550AA4"/>
    <w:rsid w:val="1155EA3B"/>
    <w:rsid w:val="115E2BD5"/>
    <w:rsid w:val="116993A0"/>
    <w:rsid w:val="116DEBFB"/>
    <w:rsid w:val="11862AFF"/>
    <w:rsid w:val="119F9192"/>
    <w:rsid w:val="11AC156D"/>
    <w:rsid w:val="11BAACF2"/>
    <w:rsid w:val="11D631A8"/>
    <w:rsid w:val="11D9EE66"/>
    <w:rsid w:val="11DFD5FC"/>
    <w:rsid w:val="11E64AE3"/>
    <w:rsid w:val="1202661C"/>
    <w:rsid w:val="120300AC"/>
    <w:rsid w:val="120B8237"/>
    <w:rsid w:val="1214FAAE"/>
    <w:rsid w:val="122B96F3"/>
    <w:rsid w:val="123B54A6"/>
    <w:rsid w:val="123D523A"/>
    <w:rsid w:val="1243F6B1"/>
    <w:rsid w:val="1249D188"/>
    <w:rsid w:val="1259AD03"/>
    <w:rsid w:val="126E3012"/>
    <w:rsid w:val="12712699"/>
    <w:rsid w:val="1290BEA0"/>
    <w:rsid w:val="129BC734"/>
    <w:rsid w:val="12BD5561"/>
    <w:rsid w:val="12CD8E90"/>
    <w:rsid w:val="12D2C0AE"/>
    <w:rsid w:val="12DFC309"/>
    <w:rsid w:val="13095D0A"/>
    <w:rsid w:val="130DF077"/>
    <w:rsid w:val="1320119E"/>
    <w:rsid w:val="1322240B"/>
    <w:rsid w:val="13229C89"/>
    <w:rsid w:val="1338C8E4"/>
    <w:rsid w:val="137880C3"/>
    <w:rsid w:val="137C343E"/>
    <w:rsid w:val="13914481"/>
    <w:rsid w:val="13C464B9"/>
    <w:rsid w:val="13C5E116"/>
    <w:rsid w:val="13D0B0AE"/>
    <w:rsid w:val="13D152EF"/>
    <w:rsid w:val="1404FFC5"/>
    <w:rsid w:val="1409C3F3"/>
    <w:rsid w:val="140D2306"/>
    <w:rsid w:val="1413E295"/>
    <w:rsid w:val="1416F181"/>
    <w:rsid w:val="142DF885"/>
    <w:rsid w:val="14535A2A"/>
    <w:rsid w:val="14733B4E"/>
    <w:rsid w:val="147E17C7"/>
    <w:rsid w:val="147F9712"/>
    <w:rsid w:val="14AC0DEF"/>
    <w:rsid w:val="14CC351B"/>
    <w:rsid w:val="14E10640"/>
    <w:rsid w:val="14E8D79C"/>
    <w:rsid w:val="1528D63D"/>
    <w:rsid w:val="153F139B"/>
    <w:rsid w:val="1541F8E4"/>
    <w:rsid w:val="15566427"/>
    <w:rsid w:val="155EC1BB"/>
    <w:rsid w:val="156BC126"/>
    <w:rsid w:val="15889F63"/>
    <w:rsid w:val="158C3A63"/>
    <w:rsid w:val="158E5B35"/>
    <w:rsid w:val="15A0FBB7"/>
    <w:rsid w:val="15AB7045"/>
    <w:rsid w:val="15D41C17"/>
    <w:rsid w:val="15D8FCCD"/>
    <w:rsid w:val="15EA3EB0"/>
    <w:rsid w:val="15EC137F"/>
    <w:rsid w:val="15F61952"/>
    <w:rsid w:val="15F767F3"/>
    <w:rsid w:val="15FC3C15"/>
    <w:rsid w:val="161982B9"/>
    <w:rsid w:val="161B1206"/>
    <w:rsid w:val="162D37BB"/>
    <w:rsid w:val="16407EF9"/>
    <w:rsid w:val="165296B4"/>
    <w:rsid w:val="1667FDAF"/>
    <w:rsid w:val="16698490"/>
    <w:rsid w:val="16778F6B"/>
    <w:rsid w:val="167D10F1"/>
    <w:rsid w:val="169B7CD6"/>
    <w:rsid w:val="16A13BD1"/>
    <w:rsid w:val="16A24EAD"/>
    <w:rsid w:val="16A93C75"/>
    <w:rsid w:val="16B10096"/>
    <w:rsid w:val="16C23D83"/>
    <w:rsid w:val="16CCC4CB"/>
    <w:rsid w:val="16D1EE03"/>
    <w:rsid w:val="16DB24C5"/>
    <w:rsid w:val="16FF7409"/>
    <w:rsid w:val="1701384A"/>
    <w:rsid w:val="17071A9C"/>
    <w:rsid w:val="1726567C"/>
    <w:rsid w:val="17268B5A"/>
    <w:rsid w:val="176F6B59"/>
    <w:rsid w:val="177314DF"/>
    <w:rsid w:val="179E02A3"/>
    <w:rsid w:val="17A01F10"/>
    <w:rsid w:val="17AD0C74"/>
    <w:rsid w:val="17AFD49F"/>
    <w:rsid w:val="17CAD3D6"/>
    <w:rsid w:val="17DA4A8E"/>
    <w:rsid w:val="17E461AC"/>
    <w:rsid w:val="17F6F7AE"/>
    <w:rsid w:val="17F8068B"/>
    <w:rsid w:val="181CBE96"/>
    <w:rsid w:val="182715E6"/>
    <w:rsid w:val="182A33E3"/>
    <w:rsid w:val="182F8F89"/>
    <w:rsid w:val="183DE159"/>
    <w:rsid w:val="1847CCE1"/>
    <w:rsid w:val="184B57BE"/>
    <w:rsid w:val="184DDCB5"/>
    <w:rsid w:val="18720EF5"/>
    <w:rsid w:val="187A6039"/>
    <w:rsid w:val="1887244A"/>
    <w:rsid w:val="189004B9"/>
    <w:rsid w:val="1893F8CE"/>
    <w:rsid w:val="189C12AF"/>
    <w:rsid w:val="189F6CA3"/>
    <w:rsid w:val="18A5C4CD"/>
    <w:rsid w:val="18BEE837"/>
    <w:rsid w:val="18C90D3F"/>
    <w:rsid w:val="18D27E75"/>
    <w:rsid w:val="18DB2F77"/>
    <w:rsid w:val="18DCFFF2"/>
    <w:rsid w:val="18E6F49D"/>
    <w:rsid w:val="19028AC1"/>
    <w:rsid w:val="1905D194"/>
    <w:rsid w:val="1906E351"/>
    <w:rsid w:val="192F3AC4"/>
    <w:rsid w:val="194497A3"/>
    <w:rsid w:val="1950DD19"/>
    <w:rsid w:val="195A2AD0"/>
    <w:rsid w:val="19725232"/>
    <w:rsid w:val="197E2357"/>
    <w:rsid w:val="1986A567"/>
    <w:rsid w:val="199A980F"/>
    <w:rsid w:val="19D5C596"/>
    <w:rsid w:val="19D7071B"/>
    <w:rsid w:val="19DA3505"/>
    <w:rsid w:val="1A104095"/>
    <w:rsid w:val="1A21E079"/>
    <w:rsid w:val="1A256651"/>
    <w:rsid w:val="1A369C31"/>
    <w:rsid w:val="1A416ABC"/>
    <w:rsid w:val="1A5D1BDB"/>
    <w:rsid w:val="1A5D4C8B"/>
    <w:rsid w:val="1A83C57B"/>
    <w:rsid w:val="1AA58E51"/>
    <w:rsid w:val="1AA7ADFB"/>
    <w:rsid w:val="1AB506A9"/>
    <w:rsid w:val="1AB86611"/>
    <w:rsid w:val="1AB9FADD"/>
    <w:rsid w:val="1AC07A55"/>
    <w:rsid w:val="1AC89ADE"/>
    <w:rsid w:val="1AD55EFE"/>
    <w:rsid w:val="1B076AEF"/>
    <w:rsid w:val="1B16EF0E"/>
    <w:rsid w:val="1B1FC7EB"/>
    <w:rsid w:val="1B249E71"/>
    <w:rsid w:val="1B32AF60"/>
    <w:rsid w:val="1B343100"/>
    <w:rsid w:val="1B459457"/>
    <w:rsid w:val="1B633746"/>
    <w:rsid w:val="1B825FAE"/>
    <w:rsid w:val="1B8C8685"/>
    <w:rsid w:val="1BA63D5E"/>
    <w:rsid w:val="1BB24FBA"/>
    <w:rsid w:val="1BB304EF"/>
    <w:rsid w:val="1BB39F1E"/>
    <w:rsid w:val="1BC23CD2"/>
    <w:rsid w:val="1BC58C79"/>
    <w:rsid w:val="1BD22E71"/>
    <w:rsid w:val="1BE7245C"/>
    <w:rsid w:val="1C08DB3D"/>
    <w:rsid w:val="1C23752B"/>
    <w:rsid w:val="1C268614"/>
    <w:rsid w:val="1C31569B"/>
    <w:rsid w:val="1C39C9C1"/>
    <w:rsid w:val="1C3B6D6C"/>
    <w:rsid w:val="1C3DC6A9"/>
    <w:rsid w:val="1C437655"/>
    <w:rsid w:val="1C6E10BD"/>
    <w:rsid w:val="1C7D3A38"/>
    <w:rsid w:val="1C8327DB"/>
    <w:rsid w:val="1CB469A6"/>
    <w:rsid w:val="1CB49875"/>
    <w:rsid w:val="1D020B7B"/>
    <w:rsid w:val="1D0CCD72"/>
    <w:rsid w:val="1D2595F2"/>
    <w:rsid w:val="1D278DC3"/>
    <w:rsid w:val="1D2BA9AE"/>
    <w:rsid w:val="1D4BDFC2"/>
    <w:rsid w:val="1D56CB3F"/>
    <w:rsid w:val="1D695534"/>
    <w:rsid w:val="1D69AD09"/>
    <w:rsid w:val="1D8B5C20"/>
    <w:rsid w:val="1D976826"/>
    <w:rsid w:val="1D99F41F"/>
    <w:rsid w:val="1DCBEF99"/>
    <w:rsid w:val="1DD2FE5F"/>
    <w:rsid w:val="1DF512CA"/>
    <w:rsid w:val="1DFC0ED9"/>
    <w:rsid w:val="1E082C28"/>
    <w:rsid w:val="1E0B40FE"/>
    <w:rsid w:val="1E157DD0"/>
    <w:rsid w:val="1E1E3561"/>
    <w:rsid w:val="1E3AF860"/>
    <w:rsid w:val="1E434C26"/>
    <w:rsid w:val="1E4EDA0A"/>
    <w:rsid w:val="1E5E2C57"/>
    <w:rsid w:val="1E5ED561"/>
    <w:rsid w:val="1E756227"/>
    <w:rsid w:val="1E9B2CEC"/>
    <w:rsid w:val="1EB9C06F"/>
    <w:rsid w:val="1EC5B98E"/>
    <w:rsid w:val="1EED4F10"/>
    <w:rsid w:val="1F28030B"/>
    <w:rsid w:val="1F3FDF30"/>
    <w:rsid w:val="1F451949"/>
    <w:rsid w:val="1F4CC242"/>
    <w:rsid w:val="1F562D60"/>
    <w:rsid w:val="1F75E927"/>
    <w:rsid w:val="1F84372D"/>
    <w:rsid w:val="1F848A11"/>
    <w:rsid w:val="1F98032B"/>
    <w:rsid w:val="1F9D2AC8"/>
    <w:rsid w:val="1F9E0E88"/>
    <w:rsid w:val="1FBC2BA9"/>
    <w:rsid w:val="1FDD74D1"/>
    <w:rsid w:val="1FDF197A"/>
    <w:rsid w:val="1FF2DB3F"/>
    <w:rsid w:val="20057BB9"/>
    <w:rsid w:val="20189C0F"/>
    <w:rsid w:val="2020B981"/>
    <w:rsid w:val="20283517"/>
    <w:rsid w:val="203BAAED"/>
    <w:rsid w:val="205ED642"/>
    <w:rsid w:val="20898299"/>
    <w:rsid w:val="208DDA87"/>
    <w:rsid w:val="20ADD3FF"/>
    <w:rsid w:val="20B1B56A"/>
    <w:rsid w:val="20CA6C2D"/>
    <w:rsid w:val="20D309BD"/>
    <w:rsid w:val="20EFB6A5"/>
    <w:rsid w:val="20FAB101"/>
    <w:rsid w:val="2129C171"/>
    <w:rsid w:val="214015FD"/>
    <w:rsid w:val="21511D97"/>
    <w:rsid w:val="215125B0"/>
    <w:rsid w:val="215E5235"/>
    <w:rsid w:val="2161F673"/>
    <w:rsid w:val="21818253"/>
    <w:rsid w:val="218CED38"/>
    <w:rsid w:val="218F6C55"/>
    <w:rsid w:val="2198C510"/>
    <w:rsid w:val="21A7BCB9"/>
    <w:rsid w:val="21A954B5"/>
    <w:rsid w:val="21B100DC"/>
    <w:rsid w:val="21B2238B"/>
    <w:rsid w:val="21C01705"/>
    <w:rsid w:val="21EB8893"/>
    <w:rsid w:val="22035B05"/>
    <w:rsid w:val="222A49C2"/>
    <w:rsid w:val="22305716"/>
    <w:rsid w:val="2272404D"/>
    <w:rsid w:val="22735D22"/>
    <w:rsid w:val="22827A40"/>
    <w:rsid w:val="228D89C5"/>
    <w:rsid w:val="22C30E20"/>
    <w:rsid w:val="22C3756A"/>
    <w:rsid w:val="22DC6AE2"/>
    <w:rsid w:val="22F6E437"/>
    <w:rsid w:val="23033D64"/>
    <w:rsid w:val="2303DC43"/>
    <w:rsid w:val="2305F63A"/>
    <w:rsid w:val="23099AAA"/>
    <w:rsid w:val="23136988"/>
    <w:rsid w:val="231DF519"/>
    <w:rsid w:val="231F3BEE"/>
    <w:rsid w:val="2337A722"/>
    <w:rsid w:val="233FB10E"/>
    <w:rsid w:val="23468341"/>
    <w:rsid w:val="234B1616"/>
    <w:rsid w:val="2351316C"/>
    <w:rsid w:val="2353EC4A"/>
    <w:rsid w:val="23BDCB75"/>
    <w:rsid w:val="23DFF814"/>
    <w:rsid w:val="23E53E06"/>
    <w:rsid w:val="2408D084"/>
    <w:rsid w:val="24179E7F"/>
    <w:rsid w:val="244D00FE"/>
    <w:rsid w:val="245C54BD"/>
    <w:rsid w:val="246BFB81"/>
    <w:rsid w:val="247D3EF0"/>
    <w:rsid w:val="24AA1933"/>
    <w:rsid w:val="24BA838A"/>
    <w:rsid w:val="24D7BAC1"/>
    <w:rsid w:val="24DCCF9E"/>
    <w:rsid w:val="24F0AE31"/>
    <w:rsid w:val="24FB401A"/>
    <w:rsid w:val="24FBE8F8"/>
    <w:rsid w:val="24FC7AB9"/>
    <w:rsid w:val="251D504B"/>
    <w:rsid w:val="251DB3ED"/>
    <w:rsid w:val="25498206"/>
    <w:rsid w:val="2553BD52"/>
    <w:rsid w:val="255AD70D"/>
    <w:rsid w:val="2561C195"/>
    <w:rsid w:val="25653CB6"/>
    <w:rsid w:val="256882F9"/>
    <w:rsid w:val="2569D695"/>
    <w:rsid w:val="25727742"/>
    <w:rsid w:val="257CB67A"/>
    <w:rsid w:val="2584ADA9"/>
    <w:rsid w:val="259AE874"/>
    <w:rsid w:val="259CAD6C"/>
    <w:rsid w:val="25A2AF56"/>
    <w:rsid w:val="25C2872E"/>
    <w:rsid w:val="25C87B52"/>
    <w:rsid w:val="25DDBDF5"/>
    <w:rsid w:val="25DDDEE3"/>
    <w:rsid w:val="25ECBB58"/>
    <w:rsid w:val="263A7DAC"/>
    <w:rsid w:val="26688A4F"/>
    <w:rsid w:val="266B3E7F"/>
    <w:rsid w:val="26701888"/>
    <w:rsid w:val="26730659"/>
    <w:rsid w:val="2680B71C"/>
    <w:rsid w:val="26871285"/>
    <w:rsid w:val="26AF0A64"/>
    <w:rsid w:val="26CC5435"/>
    <w:rsid w:val="26D22EBA"/>
    <w:rsid w:val="26D33814"/>
    <w:rsid w:val="26D8CF6C"/>
    <w:rsid w:val="26F507A9"/>
    <w:rsid w:val="26F68567"/>
    <w:rsid w:val="26FDED94"/>
    <w:rsid w:val="27243675"/>
    <w:rsid w:val="27267E56"/>
    <w:rsid w:val="2748AE59"/>
    <w:rsid w:val="2756329E"/>
    <w:rsid w:val="275FC51F"/>
    <w:rsid w:val="2768914B"/>
    <w:rsid w:val="276E57E3"/>
    <w:rsid w:val="2782127F"/>
    <w:rsid w:val="27B34A91"/>
    <w:rsid w:val="27C9D187"/>
    <w:rsid w:val="27E720E4"/>
    <w:rsid w:val="27EDC0F2"/>
    <w:rsid w:val="2822160A"/>
    <w:rsid w:val="2823EE38"/>
    <w:rsid w:val="28453946"/>
    <w:rsid w:val="2861F16D"/>
    <w:rsid w:val="28634D14"/>
    <w:rsid w:val="286A297F"/>
    <w:rsid w:val="28814D3F"/>
    <w:rsid w:val="2895C65E"/>
    <w:rsid w:val="28AD8458"/>
    <w:rsid w:val="28D185A0"/>
    <w:rsid w:val="28D2F6B7"/>
    <w:rsid w:val="28DBD073"/>
    <w:rsid w:val="28EA8D77"/>
    <w:rsid w:val="28F9823C"/>
    <w:rsid w:val="28FE0B15"/>
    <w:rsid w:val="28FEA3E7"/>
    <w:rsid w:val="290F813B"/>
    <w:rsid w:val="29142301"/>
    <w:rsid w:val="2933F9F1"/>
    <w:rsid w:val="29534A5F"/>
    <w:rsid w:val="29851FA7"/>
    <w:rsid w:val="29ED9EEE"/>
    <w:rsid w:val="29F6F15C"/>
    <w:rsid w:val="2A19A792"/>
    <w:rsid w:val="2A6573A0"/>
    <w:rsid w:val="2A72705B"/>
    <w:rsid w:val="2A8F851D"/>
    <w:rsid w:val="2A97101B"/>
    <w:rsid w:val="2A9EC429"/>
    <w:rsid w:val="2AB7F29D"/>
    <w:rsid w:val="2ABFD070"/>
    <w:rsid w:val="2ACFE87C"/>
    <w:rsid w:val="2AD4FB0D"/>
    <w:rsid w:val="2ADA6658"/>
    <w:rsid w:val="2ADAD2D6"/>
    <w:rsid w:val="2ADD1B03"/>
    <w:rsid w:val="2AE68A21"/>
    <w:rsid w:val="2AF26606"/>
    <w:rsid w:val="2B085895"/>
    <w:rsid w:val="2B29E253"/>
    <w:rsid w:val="2B3E0541"/>
    <w:rsid w:val="2B4CA572"/>
    <w:rsid w:val="2B5D9287"/>
    <w:rsid w:val="2B69F066"/>
    <w:rsid w:val="2B8F988F"/>
    <w:rsid w:val="2B92C04E"/>
    <w:rsid w:val="2B9C6C3A"/>
    <w:rsid w:val="2BA1EC54"/>
    <w:rsid w:val="2BA5D171"/>
    <w:rsid w:val="2BB0692C"/>
    <w:rsid w:val="2BB4031B"/>
    <w:rsid w:val="2BD24C53"/>
    <w:rsid w:val="2BD858FA"/>
    <w:rsid w:val="2BE6F8C3"/>
    <w:rsid w:val="2BEF1509"/>
    <w:rsid w:val="2C1A706C"/>
    <w:rsid w:val="2C1E6BC8"/>
    <w:rsid w:val="2C230251"/>
    <w:rsid w:val="2C3565E7"/>
    <w:rsid w:val="2C6D3402"/>
    <w:rsid w:val="2C71C0CA"/>
    <w:rsid w:val="2C8EE67B"/>
    <w:rsid w:val="2CA49715"/>
    <w:rsid w:val="2CAA5B85"/>
    <w:rsid w:val="2CCC3352"/>
    <w:rsid w:val="2CD2AADC"/>
    <w:rsid w:val="2CE8160C"/>
    <w:rsid w:val="2D2D92DE"/>
    <w:rsid w:val="2D340E79"/>
    <w:rsid w:val="2D438D6A"/>
    <w:rsid w:val="2D7A51BA"/>
    <w:rsid w:val="2D849E6C"/>
    <w:rsid w:val="2D87C4FE"/>
    <w:rsid w:val="2DA511BC"/>
    <w:rsid w:val="2DBAA4BC"/>
    <w:rsid w:val="2DBF9515"/>
    <w:rsid w:val="2DE2E94D"/>
    <w:rsid w:val="2DF64C61"/>
    <w:rsid w:val="2E0326B2"/>
    <w:rsid w:val="2E05353D"/>
    <w:rsid w:val="2E269778"/>
    <w:rsid w:val="2E284360"/>
    <w:rsid w:val="2E28FC97"/>
    <w:rsid w:val="2E31D269"/>
    <w:rsid w:val="2E373146"/>
    <w:rsid w:val="2E62F8B4"/>
    <w:rsid w:val="2E6356B4"/>
    <w:rsid w:val="2E67F9B9"/>
    <w:rsid w:val="2E69572F"/>
    <w:rsid w:val="2E6A76C7"/>
    <w:rsid w:val="2E6EC34A"/>
    <w:rsid w:val="2E7BB4D4"/>
    <w:rsid w:val="2E83DCCE"/>
    <w:rsid w:val="2EA190AB"/>
    <w:rsid w:val="2EC8350A"/>
    <w:rsid w:val="2EC92992"/>
    <w:rsid w:val="2EE03AD2"/>
    <w:rsid w:val="2EE82584"/>
    <w:rsid w:val="2EEEF2D5"/>
    <w:rsid w:val="2EFF3E75"/>
    <w:rsid w:val="2F01A764"/>
    <w:rsid w:val="2F0D43EE"/>
    <w:rsid w:val="2F21278B"/>
    <w:rsid w:val="2F24BF84"/>
    <w:rsid w:val="2F26BDE6"/>
    <w:rsid w:val="2F290640"/>
    <w:rsid w:val="2F33DE39"/>
    <w:rsid w:val="2F3F4FF3"/>
    <w:rsid w:val="2F3F72FD"/>
    <w:rsid w:val="2F4C1A47"/>
    <w:rsid w:val="2F51F4C7"/>
    <w:rsid w:val="2F6C9A78"/>
    <w:rsid w:val="2F84A215"/>
    <w:rsid w:val="2F88E87C"/>
    <w:rsid w:val="2F940F06"/>
    <w:rsid w:val="2F949B1E"/>
    <w:rsid w:val="2FD6F5B7"/>
    <w:rsid w:val="2FE31C5B"/>
    <w:rsid w:val="3014B31B"/>
    <w:rsid w:val="302ABCD3"/>
    <w:rsid w:val="303BDB12"/>
    <w:rsid w:val="3051BED1"/>
    <w:rsid w:val="307D7CA8"/>
    <w:rsid w:val="3086092F"/>
    <w:rsid w:val="308D0692"/>
    <w:rsid w:val="308E198D"/>
    <w:rsid w:val="30AF314C"/>
    <w:rsid w:val="30C40F74"/>
    <w:rsid w:val="30C73F89"/>
    <w:rsid w:val="30DAE24B"/>
    <w:rsid w:val="30DF4C3B"/>
    <w:rsid w:val="30EC32B2"/>
    <w:rsid w:val="30F415EB"/>
    <w:rsid w:val="30F45257"/>
    <w:rsid w:val="30FC5ADB"/>
    <w:rsid w:val="3103656B"/>
    <w:rsid w:val="312367FC"/>
    <w:rsid w:val="312478A3"/>
    <w:rsid w:val="3126C469"/>
    <w:rsid w:val="313621FA"/>
    <w:rsid w:val="313A611D"/>
    <w:rsid w:val="315E5FB3"/>
    <w:rsid w:val="31722C75"/>
    <w:rsid w:val="317F15E9"/>
    <w:rsid w:val="318042E3"/>
    <w:rsid w:val="31854752"/>
    <w:rsid w:val="31BAD8C3"/>
    <w:rsid w:val="31BAEB03"/>
    <w:rsid w:val="31C9CB6E"/>
    <w:rsid w:val="31F4FF2C"/>
    <w:rsid w:val="3211EFB5"/>
    <w:rsid w:val="321464EF"/>
    <w:rsid w:val="321BEAB7"/>
    <w:rsid w:val="321DE32C"/>
    <w:rsid w:val="32315A60"/>
    <w:rsid w:val="32453FDB"/>
    <w:rsid w:val="3260ABA9"/>
    <w:rsid w:val="328119EE"/>
    <w:rsid w:val="3287405C"/>
    <w:rsid w:val="3290FBFF"/>
    <w:rsid w:val="32922FDB"/>
    <w:rsid w:val="32A39C86"/>
    <w:rsid w:val="32A4DFF0"/>
    <w:rsid w:val="331C4066"/>
    <w:rsid w:val="3336B466"/>
    <w:rsid w:val="333B85A4"/>
    <w:rsid w:val="334A6426"/>
    <w:rsid w:val="334B01E1"/>
    <w:rsid w:val="335C6BE3"/>
    <w:rsid w:val="33679CF0"/>
    <w:rsid w:val="3368AEC9"/>
    <w:rsid w:val="3369BD09"/>
    <w:rsid w:val="3373F6BF"/>
    <w:rsid w:val="338660FE"/>
    <w:rsid w:val="33B33C6E"/>
    <w:rsid w:val="33C14EE7"/>
    <w:rsid w:val="33D25627"/>
    <w:rsid w:val="33F005B2"/>
    <w:rsid w:val="34201345"/>
    <w:rsid w:val="34415094"/>
    <w:rsid w:val="344AF14D"/>
    <w:rsid w:val="3464A382"/>
    <w:rsid w:val="3469C688"/>
    <w:rsid w:val="347ECD1B"/>
    <w:rsid w:val="34846503"/>
    <w:rsid w:val="34A4F075"/>
    <w:rsid w:val="34F78623"/>
    <w:rsid w:val="35034482"/>
    <w:rsid w:val="35094154"/>
    <w:rsid w:val="350D099C"/>
    <w:rsid w:val="3522003D"/>
    <w:rsid w:val="352711A7"/>
    <w:rsid w:val="3545EE5A"/>
    <w:rsid w:val="354608EF"/>
    <w:rsid w:val="355A24E3"/>
    <w:rsid w:val="356DD3A8"/>
    <w:rsid w:val="35754B17"/>
    <w:rsid w:val="357659EC"/>
    <w:rsid w:val="3580C4BC"/>
    <w:rsid w:val="35838796"/>
    <w:rsid w:val="359C755D"/>
    <w:rsid w:val="35A69C7C"/>
    <w:rsid w:val="35A9F9D6"/>
    <w:rsid w:val="35B43F0C"/>
    <w:rsid w:val="35B747B9"/>
    <w:rsid w:val="35C29822"/>
    <w:rsid w:val="35E90724"/>
    <w:rsid w:val="35FEC2E0"/>
    <w:rsid w:val="35FFC39F"/>
    <w:rsid w:val="3601402E"/>
    <w:rsid w:val="3609AFCA"/>
    <w:rsid w:val="3624933D"/>
    <w:rsid w:val="36252863"/>
    <w:rsid w:val="36346478"/>
    <w:rsid w:val="3638B6A4"/>
    <w:rsid w:val="36464DB2"/>
    <w:rsid w:val="365BC80E"/>
    <w:rsid w:val="366D0641"/>
    <w:rsid w:val="3684D89A"/>
    <w:rsid w:val="3695B5CC"/>
    <w:rsid w:val="36B8ED3C"/>
    <w:rsid w:val="36C8EE3E"/>
    <w:rsid w:val="36D40FCC"/>
    <w:rsid w:val="3712A8BC"/>
    <w:rsid w:val="3717F82D"/>
    <w:rsid w:val="3728282E"/>
    <w:rsid w:val="372D1DFA"/>
    <w:rsid w:val="3730B444"/>
    <w:rsid w:val="37355A06"/>
    <w:rsid w:val="37450E28"/>
    <w:rsid w:val="374C3578"/>
    <w:rsid w:val="37668485"/>
    <w:rsid w:val="37779353"/>
    <w:rsid w:val="377DA616"/>
    <w:rsid w:val="37843951"/>
    <w:rsid w:val="37A1F749"/>
    <w:rsid w:val="37A65BC0"/>
    <w:rsid w:val="37ABAA7C"/>
    <w:rsid w:val="37C1C89A"/>
    <w:rsid w:val="37CC14F2"/>
    <w:rsid w:val="37CCC3D5"/>
    <w:rsid w:val="37DDEBF2"/>
    <w:rsid w:val="37E3B4B9"/>
    <w:rsid w:val="37EA0E77"/>
    <w:rsid w:val="37F4D356"/>
    <w:rsid w:val="382093C4"/>
    <w:rsid w:val="382471BC"/>
    <w:rsid w:val="3824B705"/>
    <w:rsid w:val="384E8FDA"/>
    <w:rsid w:val="385084E1"/>
    <w:rsid w:val="3873D5B2"/>
    <w:rsid w:val="38929993"/>
    <w:rsid w:val="38A925E8"/>
    <w:rsid w:val="38BAEBF8"/>
    <w:rsid w:val="38C5FA98"/>
    <w:rsid w:val="38EAAEAC"/>
    <w:rsid w:val="38EE9591"/>
    <w:rsid w:val="38EFDBDA"/>
    <w:rsid w:val="38FB100D"/>
    <w:rsid w:val="3905FEB4"/>
    <w:rsid w:val="391E9205"/>
    <w:rsid w:val="393C2E11"/>
    <w:rsid w:val="394401DB"/>
    <w:rsid w:val="39581E90"/>
    <w:rsid w:val="39583633"/>
    <w:rsid w:val="3977FDB5"/>
    <w:rsid w:val="397D3044"/>
    <w:rsid w:val="39800C06"/>
    <w:rsid w:val="39B51455"/>
    <w:rsid w:val="39BEBA25"/>
    <w:rsid w:val="39C98F34"/>
    <w:rsid w:val="39DA0677"/>
    <w:rsid w:val="39DE3CD0"/>
    <w:rsid w:val="39ED6F8A"/>
    <w:rsid w:val="39F2B0BF"/>
    <w:rsid w:val="3A0C1AB2"/>
    <w:rsid w:val="3A1D2460"/>
    <w:rsid w:val="3A2D076E"/>
    <w:rsid w:val="3A469C65"/>
    <w:rsid w:val="3A533CF9"/>
    <w:rsid w:val="3A53D4C4"/>
    <w:rsid w:val="3A5EFBE0"/>
    <w:rsid w:val="3A63A532"/>
    <w:rsid w:val="3A67393D"/>
    <w:rsid w:val="3A6AF2D1"/>
    <w:rsid w:val="3A70532D"/>
    <w:rsid w:val="3A769535"/>
    <w:rsid w:val="3A78E7FA"/>
    <w:rsid w:val="3A7E0991"/>
    <w:rsid w:val="3A96EF36"/>
    <w:rsid w:val="3A9F4FEF"/>
    <w:rsid w:val="3AA96E6F"/>
    <w:rsid w:val="3AAAF206"/>
    <w:rsid w:val="3AAB3C19"/>
    <w:rsid w:val="3AAD83F5"/>
    <w:rsid w:val="3AADEEDB"/>
    <w:rsid w:val="3AB94C86"/>
    <w:rsid w:val="3ABD1775"/>
    <w:rsid w:val="3AC6884E"/>
    <w:rsid w:val="3AC81285"/>
    <w:rsid w:val="3ACB76F8"/>
    <w:rsid w:val="3ACC0E42"/>
    <w:rsid w:val="3AD8EB96"/>
    <w:rsid w:val="3AF59C02"/>
    <w:rsid w:val="3B057310"/>
    <w:rsid w:val="3B0CF301"/>
    <w:rsid w:val="3B2CA5AB"/>
    <w:rsid w:val="3B575373"/>
    <w:rsid w:val="3B727349"/>
    <w:rsid w:val="3B8EB700"/>
    <w:rsid w:val="3BB97315"/>
    <w:rsid w:val="3BD2ABBD"/>
    <w:rsid w:val="3C06EA91"/>
    <w:rsid w:val="3C1CEF6C"/>
    <w:rsid w:val="3C1DD6F1"/>
    <w:rsid w:val="3C36CDDA"/>
    <w:rsid w:val="3C45ADAD"/>
    <w:rsid w:val="3C545B11"/>
    <w:rsid w:val="3C989E74"/>
    <w:rsid w:val="3C993406"/>
    <w:rsid w:val="3CB1CB97"/>
    <w:rsid w:val="3CB28D03"/>
    <w:rsid w:val="3CBAA16E"/>
    <w:rsid w:val="3CCCE3B1"/>
    <w:rsid w:val="3CD3CF33"/>
    <w:rsid w:val="3CDCD04E"/>
    <w:rsid w:val="3CFDB807"/>
    <w:rsid w:val="3D024D0A"/>
    <w:rsid w:val="3D08E96E"/>
    <w:rsid w:val="3D16BFE3"/>
    <w:rsid w:val="3D21ED51"/>
    <w:rsid w:val="3D33597A"/>
    <w:rsid w:val="3D4C8A0F"/>
    <w:rsid w:val="3D4F7474"/>
    <w:rsid w:val="3D54ED10"/>
    <w:rsid w:val="3D59C3A1"/>
    <w:rsid w:val="3D770C16"/>
    <w:rsid w:val="3D78F998"/>
    <w:rsid w:val="3D7A3208"/>
    <w:rsid w:val="3DA7E0D5"/>
    <w:rsid w:val="3DB9359D"/>
    <w:rsid w:val="3DBB3B83"/>
    <w:rsid w:val="3DBCA0FD"/>
    <w:rsid w:val="3DD3E76C"/>
    <w:rsid w:val="3DF9399F"/>
    <w:rsid w:val="3E060EDA"/>
    <w:rsid w:val="3E2D27BA"/>
    <w:rsid w:val="3E2F9851"/>
    <w:rsid w:val="3E47317B"/>
    <w:rsid w:val="3E506480"/>
    <w:rsid w:val="3E5AD5DA"/>
    <w:rsid w:val="3E684DD6"/>
    <w:rsid w:val="3E77C662"/>
    <w:rsid w:val="3E7DF30F"/>
    <w:rsid w:val="3E7FAD0A"/>
    <w:rsid w:val="3E889E46"/>
    <w:rsid w:val="3E8EFF36"/>
    <w:rsid w:val="3EADB7F6"/>
    <w:rsid w:val="3EB3B0EB"/>
    <w:rsid w:val="3EE0D16D"/>
    <w:rsid w:val="3EE25DDB"/>
    <w:rsid w:val="3EE8EB71"/>
    <w:rsid w:val="3EF5C2A1"/>
    <w:rsid w:val="3F114C39"/>
    <w:rsid w:val="3F11A247"/>
    <w:rsid w:val="3F4138B7"/>
    <w:rsid w:val="3F41F0ED"/>
    <w:rsid w:val="3F4AC427"/>
    <w:rsid w:val="3F4E5A08"/>
    <w:rsid w:val="3F5A7319"/>
    <w:rsid w:val="3F7569CC"/>
    <w:rsid w:val="3F9B548D"/>
    <w:rsid w:val="3FA3E02D"/>
    <w:rsid w:val="3FAC0B45"/>
    <w:rsid w:val="3FB76FB7"/>
    <w:rsid w:val="3FBC60FB"/>
    <w:rsid w:val="3FC36795"/>
    <w:rsid w:val="3FC83CA6"/>
    <w:rsid w:val="3FEE5B04"/>
    <w:rsid w:val="3FF354F2"/>
    <w:rsid w:val="404A7E6C"/>
    <w:rsid w:val="4051BBD7"/>
    <w:rsid w:val="4056EAAE"/>
    <w:rsid w:val="4057C252"/>
    <w:rsid w:val="4057DA57"/>
    <w:rsid w:val="4074B95D"/>
    <w:rsid w:val="408395A1"/>
    <w:rsid w:val="40A292EC"/>
    <w:rsid w:val="40B0C734"/>
    <w:rsid w:val="40C6BF45"/>
    <w:rsid w:val="40C778EB"/>
    <w:rsid w:val="40D058E9"/>
    <w:rsid w:val="40D4E76D"/>
    <w:rsid w:val="40E1FDD2"/>
    <w:rsid w:val="40E637A4"/>
    <w:rsid w:val="40F50026"/>
    <w:rsid w:val="40FF1D44"/>
    <w:rsid w:val="411A0AB1"/>
    <w:rsid w:val="4122BB3E"/>
    <w:rsid w:val="41352595"/>
    <w:rsid w:val="413716BF"/>
    <w:rsid w:val="418780A2"/>
    <w:rsid w:val="418BDDA8"/>
    <w:rsid w:val="418C75E3"/>
    <w:rsid w:val="4194172D"/>
    <w:rsid w:val="41947334"/>
    <w:rsid w:val="41963CBE"/>
    <w:rsid w:val="41BE2AA1"/>
    <w:rsid w:val="41D0D02A"/>
    <w:rsid w:val="41D1CF6F"/>
    <w:rsid w:val="41D8E113"/>
    <w:rsid w:val="41DD2625"/>
    <w:rsid w:val="41F41DF7"/>
    <w:rsid w:val="42008D03"/>
    <w:rsid w:val="42365EFD"/>
    <w:rsid w:val="425FBD4D"/>
    <w:rsid w:val="428C08A4"/>
    <w:rsid w:val="429B55DA"/>
    <w:rsid w:val="42A3BC44"/>
    <w:rsid w:val="42A90074"/>
    <w:rsid w:val="42AF1EEB"/>
    <w:rsid w:val="42B0B38F"/>
    <w:rsid w:val="42D2FE92"/>
    <w:rsid w:val="42D86A73"/>
    <w:rsid w:val="42EF538C"/>
    <w:rsid w:val="4318C954"/>
    <w:rsid w:val="4324EBD8"/>
    <w:rsid w:val="434FE94D"/>
    <w:rsid w:val="435B6ACA"/>
    <w:rsid w:val="4361FA19"/>
    <w:rsid w:val="4372422F"/>
    <w:rsid w:val="43765803"/>
    <w:rsid w:val="43817F83"/>
    <w:rsid w:val="43870F62"/>
    <w:rsid w:val="4392F2FC"/>
    <w:rsid w:val="43999C48"/>
    <w:rsid w:val="43A9EE8D"/>
    <w:rsid w:val="43C3C804"/>
    <w:rsid w:val="43C5C679"/>
    <w:rsid w:val="43DD6C76"/>
    <w:rsid w:val="43F24080"/>
    <w:rsid w:val="440B648F"/>
    <w:rsid w:val="440F278C"/>
    <w:rsid w:val="44102304"/>
    <w:rsid w:val="4418CF72"/>
    <w:rsid w:val="441F3B0F"/>
    <w:rsid w:val="44466D90"/>
    <w:rsid w:val="444D4FAC"/>
    <w:rsid w:val="446626DA"/>
    <w:rsid w:val="4469305F"/>
    <w:rsid w:val="44834FD9"/>
    <w:rsid w:val="448D6466"/>
    <w:rsid w:val="44AAA71B"/>
    <w:rsid w:val="44ABC70A"/>
    <w:rsid w:val="44B2690A"/>
    <w:rsid w:val="4516AC70"/>
    <w:rsid w:val="4530A949"/>
    <w:rsid w:val="45364FCB"/>
    <w:rsid w:val="4545EBDE"/>
    <w:rsid w:val="4559658E"/>
    <w:rsid w:val="4572C4CC"/>
    <w:rsid w:val="459F33BA"/>
    <w:rsid w:val="45A1BF28"/>
    <w:rsid w:val="45DFDD4A"/>
    <w:rsid w:val="460C192D"/>
    <w:rsid w:val="465A92EF"/>
    <w:rsid w:val="4674A9E3"/>
    <w:rsid w:val="46761073"/>
    <w:rsid w:val="46778401"/>
    <w:rsid w:val="467E195F"/>
    <w:rsid w:val="469A5366"/>
    <w:rsid w:val="469B6424"/>
    <w:rsid w:val="46AC73F9"/>
    <w:rsid w:val="46C97592"/>
    <w:rsid w:val="46CA82E7"/>
    <w:rsid w:val="4708E460"/>
    <w:rsid w:val="47127941"/>
    <w:rsid w:val="4724EDF1"/>
    <w:rsid w:val="472DCAE8"/>
    <w:rsid w:val="47356EF4"/>
    <w:rsid w:val="473ABADA"/>
    <w:rsid w:val="478B751A"/>
    <w:rsid w:val="47A880FC"/>
    <w:rsid w:val="47B17414"/>
    <w:rsid w:val="47B43F57"/>
    <w:rsid w:val="47C5A33A"/>
    <w:rsid w:val="47E3D9A5"/>
    <w:rsid w:val="47EBC136"/>
    <w:rsid w:val="47EC95F6"/>
    <w:rsid w:val="47EFEEF4"/>
    <w:rsid w:val="480A4815"/>
    <w:rsid w:val="4810D3A9"/>
    <w:rsid w:val="482BA22A"/>
    <w:rsid w:val="484A898D"/>
    <w:rsid w:val="48539A6B"/>
    <w:rsid w:val="4870500A"/>
    <w:rsid w:val="4876D798"/>
    <w:rsid w:val="48791144"/>
    <w:rsid w:val="489756A4"/>
    <w:rsid w:val="48A648BA"/>
    <w:rsid w:val="48B4A3BC"/>
    <w:rsid w:val="48C153A6"/>
    <w:rsid w:val="48CFACF0"/>
    <w:rsid w:val="48E7E917"/>
    <w:rsid w:val="48ECD0F9"/>
    <w:rsid w:val="48FDF00B"/>
    <w:rsid w:val="4908002A"/>
    <w:rsid w:val="4910EC0D"/>
    <w:rsid w:val="4927E267"/>
    <w:rsid w:val="4928BA61"/>
    <w:rsid w:val="492CDF57"/>
    <w:rsid w:val="493F3AF7"/>
    <w:rsid w:val="49417223"/>
    <w:rsid w:val="4946E789"/>
    <w:rsid w:val="497783C4"/>
    <w:rsid w:val="497AD82E"/>
    <w:rsid w:val="499902B1"/>
    <w:rsid w:val="49BC98B6"/>
    <w:rsid w:val="49C2E999"/>
    <w:rsid w:val="49CD580A"/>
    <w:rsid w:val="49D322A5"/>
    <w:rsid w:val="49D426FE"/>
    <w:rsid w:val="49E7E2F3"/>
    <w:rsid w:val="4A34E203"/>
    <w:rsid w:val="4A45320E"/>
    <w:rsid w:val="4A57D478"/>
    <w:rsid w:val="4A6270E2"/>
    <w:rsid w:val="4A7709BA"/>
    <w:rsid w:val="4A7AE1D4"/>
    <w:rsid w:val="4A9E3EA4"/>
    <w:rsid w:val="4AB1339A"/>
    <w:rsid w:val="4AB8C2D9"/>
    <w:rsid w:val="4ACCFBD3"/>
    <w:rsid w:val="4ACDE778"/>
    <w:rsid w:val="4AD329BE"/>
    <w:rsid w:val="4AD7DBCC"/>
    <w:rsid w:val="4B06C3A1"/>
    <w:rsid w:val="4B0C356C"/>
    <w:rsid w:val="4B478030"/>
    <w:rsid w:val="4B4B01E3"/>
    <w:rsid w:val="4B4DE483"/>
    <w:rsid w:val="4B5CE362"/>
    <w:rsid w:val="4B6A9AA3"/>
    <w:rsid w:val="4B851F3B"/>
    <w:rsid w:val="4B85D575"/>
    <w:rsid w:val="4BAD6F12"/>
    <w:rsid w:val="4BAE949D"/>
    <w:rsid w:val="4BE59325"/>
    <w:rsid w:val="4BF5CE28"/>
    <w:rsid w:val="4BF6AD6E"/>
    <w:rsid w:val="4C1232EF"/>
    <w:rsid w:val="4C4E909F"/>
    <w:rsid w:val="4C8D51C7"/>
    <w:rsid w:val="4C900E49"/>
    <w:rsid w:val="4CA402D0"/>
    <w:rsid w:val="4CB7C335"/>
    <w:rsid w:val="4CBFAB66"/>
    <w:rsid w:val="4CC94134"/>
    <w:rsid w:val="4CE2DD65"/>
    <w:rsid w:val="4CF0C099"/>
    <w:rsid w:val="4CFE03C2"/>
    <w:rsid w:val="4D04B954"/>
    <w:rsid w:val="4D14E4BA"/>
    <w:rsid w:val="4D154DA9"/>
    <w:rsid w:val="4D3B39CA"/>
    <w:rsid w:val="4D8E6061"/>
    <w:rsid w:val="4D9A0555"/>
    <w:rsid w:val="4DB8C6FE"/>
    <w:rsid w:val="4DBF9250"/>
    <w:rsid w:val="4DC6D12E"/>
    <w:rsid w:val="4DE0836B"/>
    <w:rsid w:val="4DED19F1"/>
    <w:rsid w:val="4DF9EC71"/>
    <w:rsid w:val="4E0256F3"/>
    <w:rsid w:val="4E03AABA"/>
    <w:rsid w:val="4E0FFD99"/>
    <w:rsid w:val="4E10C144"/>
    <w:rsid w:val="4E23A634"/>
    <w:rsid w:val="4E463719"/>
    <w:rsid w:val="4E53829C"/>
    <w:rsid w:val="4E64F478"/>
    <w:rsid w:val="4E748D74"/>
    <w:rsid w:val="4E7DCF8B"/>
    <w:rsid w:val="4E83011E"/>
    <w:rsid w:val="4EAA4042"/>
    <w:rsid w:val="4ECD4CB9"/>
    <w:rsid w:val="4ED09950"/>
    <w:rsid w:val="4EDFC5CB"/>
    <w:rsid w:val="4EED5D78"/>
    <w:rsid w:val="4F623EA7"/>
    <w:rsid w:val="4F6BD197"/>
    <w:rsid w:val="4F83B2D6"/>
    <w:rsid w:val="4F958E94"/>
    <w:rsid w:val="4F97BC45"/>
    <w:rsid w:val="4F9D8039"/>
    <w:rsid w:val="4F9FB74D"/>
    <w:rsid w:val="4FA3CBD2"/>
    <w:rsid w:val="4FA718C2"/>
    <w:rsid w:val="4FBF0C86"/>
    <w:rsid w:val="4FCAA795"/>
    <w:rsid w:val="4FDB357D"/>
    <w:rsid w:val="500BBEBA"/>
    <w:rsid w:val="5031ABE4"/>
    <w:rsid w:val="50347E01"/>
    <w:rsid w:val="50425FE1"/>
    <w:rsid w:val="5043A1BE"/>
    <w:rsid w:val="504908B1"/>
    <w:rsid w:val="504C11AC"/>
    <w:rsid w:val="5065120E"/>
    <w:rsid w:val="50696002"/>
    <w:rsid w:val="506B349E"/>
    <w:rsid w:val="506C2467"/>
    <w:rsid w:val="506D9620"/>
    <w:rsid w:val="5076450D"/>
    <w:rsid w:val="50AD756B"/>
    <w:rsid w:val="50B981FF"/>
    <w:rsid w:val="50BF3778"/>
    <w:rsid w:val="50C2EE57"/>
    <w:rsid w:val="50D7B5E6"/>
    <w:rsid w:val="50F4AA40"/>
    <w:rsid w:val="5109E605"/>
    <w:rsid w:val="510E95C5"/>
    <w:rsid w:val="5118F256"/>
    <w:rsid w:val="511DCDE6"/>
    <w:rsid w:val="512265E6"/>
    <w:rsid w:val="51237DE1"/>
    <w:rsid w:val="512D102C"/>
    <w:rsid w:val="51370D3C"/>
    <w:rsid w:val="51400731"/>
    <w:rsid w:val="51430B4F"/>
    <w:rsid w:val="5153C89B"/>
    <w:rsid w:val="516CD935"/>
    <w:rsid w:val="5179DACA"/>
    <w:rsid w:val="517A0200"/>
    <w:rsid w:val="518986F2"/>
    <w:rsid w:val="5199CD4D"/>
    <w:rsid w:val="51AADD42"/>
    <w:rsid w:val="51C65E3F"/>
    <w:rsid w:val="51D03B8B"/>
    <w:rsid w:val="51D0E1B0"/>
    <w:rsid w:val="51D9BCFA"/>
    <w:rsid w:val="51E96526"/>
    <w:rsid w:val="520B2648"/>
    <w:rsid w:val="52229F8B"/>
    <w:rsid w:val="5229C91A"/>
    <w:rsid w:val="522EEC8F"/>
    <w:rsid w:val="524F3518"/>
    <w:rsid w:val="52508EAB"/>
    <w:rsid w:val="525BCAF8"/>
    <w:rsid w:val="5266B029"/>
    <w:rsid w:val="5291CC62"/>
    <w:rsid w:val="52AEAE53"/>
    <w:rsid w:val="52B7E8C9"/>
    <w:rsid w:val="52BABB6D"/>
    <w:rsid w:val="52CB1AAA"/>
    <w:rsid w:val="52DF91E8"/>
    <w:rsid w:val="52EF4756"/>
    <w:rsid w:val="532095BA"/>
    <w:rsid w:val="53256FF6"/>
    <w:rsid w:val="534F4F35"/>
    <w:rsid w:val="53583B1F"/>
    <w:rsid w:val="535CD722"/>
    <w:rsid w:val="53675D0A"/>
    <w:rsid w:val="537CF5E2"/>
    <w:rsid w:val="537FF156"/>
    <w:rsid w:val="53CEEC50"/>
    <w:rsid w:val="53DD07D3"/>
    <w:rsid w:val="53FCEAD7"/>
    <w:rsid w:val="53FD139E"/>
    <w:rsid w:val="53FE9936"/>
    <w:rsid w:val="54005E2C"/>
    <w:rsid w:val="540A6AB1"/>
    <w:rsid w:val="541729CF"/>
    <w:rsid w:val="5427574B"/>
    <w:rsid w:val="542BD0D1"/>
    <w:rsid w:val="542C9209"/>
    <w:rsid w:val="5440B33E"/>
    <w:rsid w:val="54696676"/>
    <w:rsid w:val="546ED0EF"/>
    <w:rsid w:val="54743A09"/>
    <w:rsid w:val="5476C684"/>
    <w:rsid w:val="548472C7"/>
    <w:rsid w:val="54881339"/>
    <w:rsid w:val="549A8C20"/>
    <w:rsid w:val="549CDC5A"/>
    <w:rsid w:val="54CE5B0C"/>
    <w:rsid w:val="54CF39CB"/>
    <w:rsid w:val="54D580AC"/>
    <w:rsid w:val="550D60F1"/>
    <w:rsid w:val="550DD9EF"/>
    <w:rsid w:val="5517C8E0"/>
    <w:rsid w:val="552531D9"/>
    <w:rsid w:val="554C5B3D"/>
    <w:rsid w:val="554D5723"/>
    <w:rsid w:val="5561961B"/>
    <w:rsid w:val="556196BA"/>
    <w:rsid w:val="5563762D"/>
    <w:rsid w:val="556724D2"/>
    <w:rsid w:val="5567AE5E"/>
    <w:rsid w:val="558CA69E"/>
    <w:rsid w:val="5599A6F3"/>
    <w:rsid w:val="55ADECAA"/>
    <w:rsid w:val="55BE2BE8"/>
    <w:rsid w:val="55BF2D69"/>
    <w:rsid w:val="55C4F969"/>
    <w:rsid w:val="55CC808E"/>
    <w:rsid w:val="55D54E0A"/>
    <w:rsid w:val="55E33CD5"/>
    <w:rsid w:val="55E83BBA"/>
    <w:rsid w:val="55F61FAA"/>
    <w:rsid w:val="55FAE4C3"/>
    <w:rsid w:val="56077BB4"/>
    <w:rsid w:val="560BD7CE"/>
    <w:rsid w:val="56154442"/>
    <w:rsid w:val="56157E10"/>
    <w:rsid w:val="561D9236"/>
    <w:rsid w:val="56448392"/>
    <w:rsid w:val="566CF2E7"/>
    <w:rsid w:val="566F0B51"/>
    <w:rsid w:val="567ACA90"/>
    <w:rsid w:val="5685823A"/>
    <w:rsid w:val="568B2122"/>
    <w:rsid w:val="5694325D"/>
    <w:rsid w:val="569946BC"/>
    <w:rsid w:val="56A4E851"/>
    <w:rsid w:val="56C286E9"/>
    <w:rsid w:val="56C586D1"/>
    <w:rsid w:val="56C71212"/>
    <w:rsid w:val="56C7B84D"/>
    <w:rsid w:val="56D9FB74"/>
    <w:rsid w:val="56E9DAEA"/>
    <w:rsid w:val="56ECB2D2"/>
    <w:rsid w:val="56F731E1"/>
    <w:rsid w:val="5712C0C2"/>
    <w:rsid w:val="573294A7"/>
    <w:rsid w:val="5749D442"/>
    <w:rsid w:val="574A6B92"/>
    <w:rsid w:val="574B1909"/>
    <w:rsid w:val="57594A3B"/>
    <w:rsid w:val="5760C910"/>
    <w:rsid w:val="5763770A"/>
    <w:rsid w:val="5764BC86"/>
    <w:rsid w:val="576B4D0B"/>
    <w:rsid w:val="5776DAD9"/>
    <w:rsid w:val="578817CB"/>
    <w:rsid w:val="57904F96"/>
    <w:rsid w:val="579DD8A6"/>
    <w:rsid w:val="57A5DDAD"/>
    <w:rsid w:val="57ACE7CB"/>
    <w:rsid w:val="57AE45B1"/>
    <w:rsid w:val="57D6E1FD"/>
    <w:rsid w:val="57DAD6DF"/>
    <w:rsid w:val="57F7A426"/>
    <w:rsid w:val="57FBB4A3"/>
    <w:rsid w:val="57FE2F8A"/>
    <w:rsid w:val="5808AB03"/>
    <w:rsid w:val="580F989F"/>
    <w:rsid w:val="580FB35C"/>
    <w:rsid w:val="5826AB08"/>
    <w:rsid w:val="582A3F3C"/>
    <w:rsid w:val="582A8F6E"/>
    <w:rsid w:val="582E2FC8"/>
    <w:rsid w:val="58318725"/>
    <w:rsid w:val="583B0FC8"/>
    <w:rsid w:val="5848F756"/>
    <w:rsid w:val="5850360B"/>
    <w:rsid w:val="585779D6"/>
    <w:rsid w:val="58588BD3"/>
    <w:rsid w:val="5872A0B3"/>
    <w:rsid w:val="587F67F8"/>
    <w:rsid w:val="58B964B1"/>
    <w:rsid w:val="58BC2E29"/>
    <w:rsid w:val="58DDE814"/>
    <w:rsid w:val="58E683E6"/>
    <w:rsid w:val="58F1C53C"/>
    <w:rsid w:val="59061735"/>
    <w:rsid w:val="592AF065"/>
    <w:rsid w:val="592C6A13"/>
    <w:rsid w:val="592F853E"/>
    <w:rsid w:val="595E204B"/>
    <w:rsid w:val="595E575B"/>
    <w:rsid w:val="59621A2E"/>
    <w:rsid w:val="5984077E"/>
    <w:rsid w:val="5999BF6E"/>
    <w:rsid w:val="59C0FC60"/>
    <w:rsid w:val="59C16156"/>
    <w:rsid w:val="59D15FD7"/>
    <w:rsid w:val="59E9F298"/>
    <w:rsid w:val="59EE2878"/>
    <w:rsid w:val="5A055995"/>
    <w:rsid w:val="5A2AFC9D"/>
    <w:rsid w:val="5A2D11A8"/>
    <w:rsid w:val="5A3B1CE6"/>
    <w:rsid w:val="5A437ED3"/>
    <w:rsid w:val="5A4E1423"/>
    <w:rsid w:val="5A7FC9F4"/>
    <w:rsid w:val="5A8E7CC9"/>
    <w:rsid w:val="5AA15A70"/>
    <w:rsid w:val="5AB5D095"/>
    <w:rsid w:val="5AB7AF6A"/>
    <w:rsid w:val="5AD54B80"/>
    <w:rsid w:val="5AD9C53C"/>
    <w:rsid w:val="5ADBC032"/>
    <w:rsid w:val="5AEE38CD"/>
    <w:rsid w:val="5AF26151"/>
    <w:rsid w:val="5AFB29AB"/>
    <w:rsid w:val="5AFE1E1E"/>
    <w:rsid w:val="5B0D0D89"/>
    <w:rsid w:val="5B0E0BCE"/>
    <w:rsid w:val="5B198BCF"/>
    <w:rsid w:val="5B51FA84"/>
    <w:rsid w:val="5B79394E"/>
    <w:rsid w:val="5B8659C6"/>
    <w:rsid w:val="5B8959C7"/>
    <w:rsid w:val="5BAAFE65"/>
    <w:rsid w:val="5BB32CDB"/>
    <w:rsid w:val="5BE75664"/>
    <w:rsid w:val="5C436156"/>
    <w:rsid w:val="5C542258"/>
    <w:rsid w:val="5C5EB524"/>
    <w:rsid w:val="5C6FC8B5"/>
    <w:rsid w:val="5C710413"/>
    <w:rsid w:val="5C762E16"/>
    <w:rsid w:val="5C807D9C"/>
    <w:rsid w:val="5C9F56BA"/>
    <w:rsid w:val="5CC6CFB8"/>
    <w:rsid w:val="5CD487EC"/>
    <w:rsid w:val="5CE32261"/>
    <w:rsid w:val="5CF383B0"/>
    <w:rsid w:val="5D01170D"/>
    <w:rsid w:val="5D14E744"/>
    <w:rsid w:val="5D158C3D"/>
    <w:rsid w:val="5D34B8A5"/>
    <w:rsid w:val="5D8A9829"/>
    <w:rsid w:val="5D94AF71"/>
    <w:rsid w:val="5D9E34EE"/>
    <w:rsid w:val="5DC3EEBE"/>
    <w:rsid w:val="5DF122FD"/>
    <w:rsid w:val="5DF5B25C"/>
    <w:rsid w:val="5E00F690"/>
    <w:rsid w:val="5E0AC600"/>
    <w:rsid w:val="5E22DFB6"/>
    <w:rsid w:val="5E41B032"/>
    <w:rsid w:val="5E497B0A"/>
    <w:rsid w:val="5E507AA3"/>
    <w:rsid w:val="5E58565A"/>
    <w:rsid w:val="5E6A4D73"/>
    <w:rsid w:val="5E78FFC3"/>
    <w:rsid w:val="5E917189"/>
    <w:rsid w:val="5E94183F"/>
    <w:rsid w:val="5EA06C8F"/>
    <w:rsid w:val="5EB466EE"/>
    <w:rsid w:val="5ED26483"/>
    <w:rsid w:val="5EF8FFB2"/>
    <w:rsid w:val="5F00B8D8"/>
    <w:rsid w:val="5F0EDF7B"/>
    <w:rsid w:val="5F1BEBA1"/>
    <w:rsid w:val="5F2E288F"/>
    <w:rsid w:val="5F41AA0F"/>
    <w:rsid w:val="5F628E58"/>
    <w:rsid w:val="5F6B11E0"/>
    <w:rsid w:val="5FA40D6A"/>
    <w:rsid w:val="5FAE8B43"/>
    <w:rsid w:val="5FB943F3"/>
    <w:rsid w:val="5FC78749"/>
    <w:rsid w:val="5FF49EC3"/>
    <w:rsid w:val="6000CD55"/>
    <w:rsid w:val="600F70D2"/>
    <w:rsid w:val="60115278"/>
    <w:rsid w:val="601F483F"/>
    <w:rsid w:val="602A2A5F"/>
    <w:rsid w:val="602F5F31"/>
    <w:rsid w:val="603A2B29"/>
    <w:rsid w:val="60590634"/>
    <w:rsid w:val="605DC1CF"/>
    <w:rsid w:val="605FDD22"/>
    <w:rsid w:val="6062825D"/>
    <w:rsid w:val="60A9A562"/>
    <w:rsid w:val="60CB74FE"/>
    <w:rsid w:val="60D6F747"/>
    <w:rsid w:val="60E3B604"/>
    <w:rsid w:val="6103285A"/>
    <w:rsid w:val="61064441"/>
    <w:rsid w:val="611C05E6"/>
    <w:rsid w:val="611DD424"/>
    <w:rsid w:val="6126A66E"/>
    <w:rsid w:val="613F6E0B"/>
    <w:rsid w:val="61468679"/>
    <w:rsid w:val="6168D82A"/>
    <w:rsid w:val="6177BC48"/>
    <w:rsid w:val="6189B14A"/>
    <w:rsid w:val="618D9CF5"/>
    <w:rsid w:val="61905861"/>
    <w:rsid w:val="6190ABCF"/>
    <w:rsid w:val="619FB578"/>
    <w:rsid w:val="61B39F54"/>
    <w:rsid w:val="61C67926"/>
    <w:rsid w:val="61E44B5A"/>
    <w:rsid w:val="61E9A246"/>
    <w:rsid w:val="620E088C"/>
    <w:rsid w:val="622F7944"/>
    <w:rsid w:val="62385F00"/>
    <w:rsid w:val="623AAD1F"/>
    <w:rsid w:val="625AA3FB"/>
    <w:rsid w:val="6279D6CF"/>
    <w:rsid w:val="627DC883"/>
    <w:rsid w:val="62828478"/>
    <w:rsid w:val="628ECF8A"/>
    <w:rsid w:val="62B8DDFA"/>
    <w:rsid w:val="62E261B8"/>
    <w:rsid w:val="631B98EC"/>
    <w:rsid w:val="631C9AB4"/>
    <w:rsid w:val="63228DC1"/>
    <w:rsid w:val="632AA99C"/>
    <w:rsid w:val="632C3E47"/>
    <w:rsid w:val="632E1C31"/>
    <w:rsid w:val="6337CEE3"/>
    <w:rsid w:val="6345DAE7"/>
    <w:rsid w:val="634B1044"/>
    <w:rsid w:val="63529D42"/>
    <w:rsid w:val="63A55C98"/>
    <w:rsid w:val="63A764F6"/>
    <w:rsid w:val="63AFFF22"/>
    <w:rsid w:val="63C9376A"/>
    <w:rsid w:val="63CC7E0E"/>
    <w:rsid w:val="63D848FC"/>
    <w:rsid w:val="63F5F54A"/>
    <w:rsid w:val="63FE5B59"/>
    <w:rsid w:val="6408B30C"/>
    <w:rsid w:val="641BFD6B"/>
    <w:rsid w:val="643AD26F"/>
    <w:rsid w:val="6467BD9A"/>
    <w:rsid w:val="646A6C5C"/>
    <w:rsid w:val="647300C6"/>
    <w:rsid w:val="6475D5E1"/>
    <w:rsid w:val="648A9B94"/>
    <w:rsid w:val="6492E282"/>
    <w:rsid w:val="64983C6D"/>
    <w:rsid w:val="649A9875"/>
    <w:rsid w:val="64F33D57"/>
    <w:rsid w:val="650E2CED"/>
    <w:rsid w:val="6511F743"/>
    <w:rsid w:val="65180800"/>
    <w:rsid w:val="6531E968"/>
    <w:rsid w:val="6533AA6C"/>
    <w:rsid w:val="65428955"/>
    <w:rsid w:val="65452208"/>
    <w:rsid w:val="65662F7F"/>
    <w:rsid w:val="656B8CCA"/>
    <w:rsid w:val="657D8A32"/>
    <w:rsid w:val="6582AB34"/>
    <w:rsid w:val="6585ABE8"/>
    <w:rsid w:val="65AC3B5B"/>
    <w:rsid w:val="65B62E12"/>
    <w:rsid w:val="65B70024"/>
    <w:rsid w:val="65C31A22"/>
    <w:rsid w:val="65D6EA17"/>
    <w:rsid w:val="660AEBA0"/>
    <w:rsid w:val="662BBEA4"/>
    <w:rsid w:val="6636E623"/>
    <w:rsid w:val="664DB838"/>
    <w:rsid w:val="66570DE6"/>
    <w:rsid w:val="665E27EA"/>
    <w:rsid w:val="66790B56"/>
    <w:rsid w:val="66813E68"/>
    <w:rsid w:val="66834F35"/>
    <w:rsid w:val="66BDD34B"/>
    <w:rsid w:val="671D158C"/>
    <w:rsid w:val="671D5644"/>
    <w:rsid w:val="6733A8AD"/>
    <w:rsid w:val="67573666"/>
    <w:rsid w:val="676668B0"/>
    <w:rsid w:val="67745133"/>
    <w:rsid w:val="6786A72B"/>
    <w:rsid w:val="678A097E"/>
    <w:rsid w:val="679F2A93"/>
    <w:rsid w:val="67BE0F21"/>
    <w:rsid w:val="67C9DAB0"/>
    <w:rsid w:val="67D70077"/>
    <w:rsid w:val="67FC1D1E"/>
    <w:rsid w:val="6803795A"/>
    <w:rsid w:val="6807D4F1"/>
    <w:rsid w:val="681120B4"/>
    <w:rsid w:val="68207EEF"/>
    <w:rsid w:val="6824636C"/>
    <w:rsid w:val="6843AD85"/>
    <w:rsid w:val="68510DC1"/>
    <w:rsid w:val="6858E61A"/>
    <w:rsid w:val="6860A69E"/>
    <w:rsid w:val="686A43E2"/>
    <w:rsid w:val="6875277B"/>
    <w:rsid w:val="687EC001"/>
    <w:rsid w:val="68870AED"/>
    <w:rsid w:val="688B091F"/>
    <w:rsid w:val="68966317"/>
    <w:rsid w:val="689920C0"/>
    <w:rsid w:val="689B11C9"/>
    <w:rsid w:val="689B48D2"/>
    <w:rsid w:val="68BB9C12"/>
    <w:rsid w:val="68CAF12B"/>
    <w:rsid w:val="68DD5B89"/>
    <w:rsid w:val="68DF2B9C"/>
    <w:rsid w:val="68E3CE8F"/>
    <w:rsid w:val="68E7808F"/>
    <w:rsid w:val="68EE66D7"/>
    <w:rsid w:val="69007BC0"/>
    <w:rsid w:val="69013F43"/>
    <w:rsid w:val="6906A8EC"/>
    <w:rsid w:val="6909A1FE"/>
    <w:rsid w:val="691B8C92"/>
    <w:rsid w:val="691E5902"/>
    <w:rsid w:val="692F6576"/>
    <w:rsid w:val="69307305"/>
    <w:rsid w:val="6942C0DF"/>
    <w:rsid w:val="695F64A6"/>
    <w:rsid w:val="695FA4A2"/>
    <w:rsid w:val="6974EF65"/>
    <w:rsid w:val="6996ABBF"/>
    <w:rsid w:val="69A0E177"/>
    <w:rsid w:val="69B405DB"/>
    <w:rsid w:val="69B575E1"/>
    <w:rsid w:val="69E294AA"/>
    <w:rsid w:val="6A0151FB"/>
    <w:rsid w:val="6A0442E3"/>
    <w:rsid w:val="6A13DE1F"/>
    <w:rsid w:val="6A16E1B1"/>
    <w:rsid w:val="6A6636A8"/>
    <w:rsid w:val="6A6B283E"/>
    <w:rsid w:val="6A7677CC"/>
    <w:rsid w:val="6A838AFC"/>
    <w:rsid w:val="6A997001"/>
    <w:rsid w:val="6AACDD6F"/>
    <w:rsid w:val="6AD5BDF5"/>
    <w:rsid w:val="6AD6AC0E"/>
    <w:rsid w:val="6B07437E"/>
    <w:rsid w:val="6B1A1697"/>
    <w:rsid w:val="6B44E4F2"/>
    <w:rsid w:val="6B4637F6"/>
    <w:rsid w:val="6B4F7BC7"/>
    <w:rsid w:val="6B629D4F"/>
    <w:rsid w:val="6B6DEFDD"/>
    <w:rsid w:val="6B81D517"/>
    <w:rsid w:val="6B8EC79A"/>
    <w:rsid w:val="6BB845BB"/>
    <w:rsid w:val="6BC65798"/>
    <w:rsid w:val="6BDF818A"/>
    <w:rsid w:val="6BE4DD24"/>
    <w:rsid w:val="6C146B83"/>
    <w:rsid w:val="6C26458D"/>
    <w:rsid w:val="6C31D157"/>
    <w:rsid w:val="6C34AB53"/>
    <w:rsid w:val="6C539751"/>
    <w:rsid w:val="6C6F67E1"/>
    <w:rsid w:val="6C73010E"/>
    <w:rsid w:val="6C75D018"/>
    <w:rsid w:val="6C80F4C1"/>
    <w:rsid w:val="6C950B7A"/>
    <w:rsid w:val="6C9F7F72"/>
    <w:rsid w:val="6CC3686A"/>
    <w:rsid w:val="6CDEC5F4"/>
    <w:rsid w:val="6CEE01CC"/>
    <w:rsid w:val="6CF15F3E"/>
    <w:rsid w:val="6CF2406D"/>
    <w:rsid w:val="6D018BCB"/>
    <w:rsid w:val="6D0F88B0"/>
    <w:rsid w:val="6D1EBAAA"/>
    <w:rsid w:val="6D35139E"/>
    <w:rsid w:val="6D359ACE"/>
    <w:rsid w:val="6D3F4F6A"/>
    <w:rsid w:val="6D492BAB"/>
    <w:rsid w:val="6D629A6F"/>
    <w:rsid w:val="6D62DF33"/>
    <w:rsid w:val="6D6F696B"/>
    <w:rsid w:val="6D9E363C"/>
    <w:rsid w:val="6DACD7C7"/>
    <w:rsid w:val="6DB4B30F"/>
    <w:rsid w:val="6DC058A7"/>
    <w:rsid w:val="6DC32C89"/>
    <w:rsid w:val="6DDCD9E2"/>
    <w:rsid w:val="6DF27413"/>
    <w:rsid w:val="6DF75FFC"/>
    <w:rsid w:val="6DFCC11F"/>
    <w:rsid w:val="6E1F70BF"/>
    <w:rsid w:val="6E3019CF"/>
    <w:rsid w:val="6E30AE19"/>
    <w:rsid w:val="6E39F240"/>
    <w:rsid w:val="6E455E87"/>
    <w:rsid w:val="6E4F737F"/>
    <w:rsid w:val="6E56D815"/>
    <w:rsid w:val="6E6EB3BC"/>
    <w:rsid w:val="6E74EDF3"/>
    <w:rsid w:val="6E7BE402"/>
    <w:rsid w:val="6E82237E"/>
    <w:rsid w:val="6E918A6D"/>
    <w:rsid w:val="6EA00544"/>
    <w:rsid w:val="6EB13157"/>
    <w:rsid w:val="6EC457CE"/>
    <w:rsid w:val="6ED5B7B3"/>
    <w:rsid w:val="6EE8EEA0"/>
    <w:rsid w:val="6F05F658"/>
    <w:rsid w:val="6F28777E"/>
    <w:rsid w:val="6F4A4DB4"/>
    <w:rsid w:val="6F6A3866"/>
    <w:rsid w:val="6FAB1B2D"/>
    <w:rsid w:val="6FE3C056"/>
    <w:rsid w:val="6FF239EE"/>
    <w:rsid w:val="6FFE5059"/>
    <w:rsid w:val="70039009"/>
    <w:rsid w:val="700E76E5"/>
    <w:rsid w:val="702F5921"/>
    <w:rsid w:val="70302708"/>
    <w:rsid w:val="704BC119"/>
    <w:rsid w:val="705BE901"/>
    <w:rsid w:val="7077B379"/>
    <w:rsid w:val="707D7383"/>
    <w:rsid w:val="70C3B2A9"/>
    <w:rsid w:val="70CB782B"/>
    <w:rsid w:val="70D7CE24"/>
    <w:rsid w:val="70D860C6"/>
    <w:rsid w:val="70E762F9"/>
    <w:rsid w:val="70E87E1F"/>
    <w:rsid w:val="70F0869F"/>
    <w:rsid w:val="70F282B8"/>
    <w:rsid w:val="70FBC388"/>
    <w:rsid w:val="7104385E"/>
    <w:rsid w:val="711417B9"/>
    <w:rsid w:val="7127914F"/>
    <w:rsid w:val="7137D314"/>
    <w:rsid w:val="713E9D28"/>
    <w:rsid w:val="7158C52C"/>
    <w:rsid w:val="71763DBA"/>
    <w:rsid w:val="718C63AF"/>
    <w:rsid w:val="719066E2"/>
    <w:rsid w:val="719C2CFC"/>
    <w:rsid w:val="71AD4F8D"/>
    <w:rsid w:val="71D21750"/>
    <w:rsid w:val="71DEC293"/>
    <w:rsid w:val="71EC2647"/>
    <w:rsid w:val="71EF065C"/>
    <w:rsid w:val="71EF3FF3"/>
    <w:rsid w:val="71FC86B9"/>
    <w:rsid w:val="71FECE55"/>
    <w:rsid w:val="72006E1E"/>
    <w:rsid w:val="720C7DD4"/>
    <w:rsid w:val="7239D1B4"/>
    <w:rsid w:val="723ECD7C"/>
    <w:rsid w:val="725F1BE1"/>
    <w:rsid w:val="72633537"/>
    <w:rsid w:val="72782E3F"/>
    <w:rsid w:val="728B6A02"/>
    <w:rsid w:val="72A7A512"/>
    <w:rsid w:val="72C5CE5D"/>
    <w:rsid w:val="72E32B4C"/>
    <w:rsid w:val="72E3DB8C"/>
    <w:rsid w:val="72FF0586"/>
    <w:rsid w:val="730667CA"/>
    <w:rsid w:val="731BA21E"/>
    <w:rsid w:val="73299336"/>
    <w:rsid w:val="7334F454"/>
    <w:rsid w:val="734F2873"/>
    <w:rsid w:val="73640F88"/>
    <w:rsid w:val="7366FC2E"/>
    <w:rsid w:val="737B5FDC"/>
    <w:rsid w:val="738C205B"/>
    <w:rsid w:val="739CA6F0"/>
    <w:rsid w:val="73AB50BE"/>
    <w:rsid w:val="73AE6BBE"/>
    <w:rsid w:val="73AF46E6"/>
    <w:rsid w:val="73B3278D"/>
    <w:rsid w:val="73CE04B9"/>
    <w:rsid w:val="73E56F68"/>
    <w:rsid w:val="73F16377"/>
    <w:rsid w:val="7407DFE7"/>
    <w:rsid w:val="7417F2A1"/>
    <w:rsid w:val="742AC60F"/>
    <w:rsid w:val="7440AFEA"/>
    <w:rsid w:val="74548F98"/>
    <w:rsid w:val="7465BF2E"/>
    <w:rsid w:val="746B336D"/>
    <w:rsid w:val="746B59A4"/>
    <w:rsid w:val="7481AEF0"/>
    <w:rsid w:val="74AB0F5F"/>
    <w:rsid w:val="74CED2F1"/>
    <w:rsid w:val="74D07A4A"/>
    <w:rsid w:val="74EB65BE"/>
    <w:rsid w:val="74F7F78A"/>
    <w:rsid w:val="75087F05"/>
    <w:rsid w:val="75093EB5"/>
    <w:rsid w:val="752631F1"/>
    <w:rsid w:val="752640D6"/>
    <w:rsid w:val="755A93E1"/>
    <w:rsid w:val="757EF2A5"/>
    <w:rsid w:val="75870547"/>
    <w:rsid w:val="758EE3E8"/>
    <w:rsid w:val="75940960"/>
    <w:rsid w:val="75A34D76"/>
    <w:rsid w:val="75B46DBA"/>
    <w:rsid w:val="75C1E916"/>
    <w:rsid w:val="75DFEDDA"/>
    <w:rsid w:val="75E38C57"/>
    <w:rsid w:val="75F0EB8F"/>
    <w:rsid w:val="75FC7896"/>
    <w:rsid w:val="76210E29"/>
    <w:rsid w:val="76259A0E"/>
    <w:rsid w:val="768AB64F"/>
    <w:rsid w:val="768E9F12"/>
    <w:rsid w:val="76926095"/>
    <w:rsid w:val="76A03648"/>
    <w:rsid w:val="76A1BD27"/>
    <w:rsid w:val="76A4A0D1"/>
    <w:rsid w:val="76BC6700"/>
    <w:rsid w:val="76D1267A"/>
    <w:rsid w:val="771A3ED0"/>
    <w:rsid w:val="771BD359"/>
    <w:rsid w:val="77330738"/>
    <w:rsid w:val="77707CD8"/>
    <w:rsid w:val="77A1F989"/>
    <w:rsid w:val="77CD7EE9"/>
    <w:rsid w:val="77DCA894"/>
    <w:rsid w:val="77E07B8A"/>
    <w:rsid w:val="77EB3DE8"/>
    <w:rsid w:val="781945AD"/>
    <w:rsid w:val="783AA2A5"/>
    <w:rsid w:val="783EE5BB"/>
    <w:rsid w:val="7850FD04"/>
    <w:rsid w:val="7858945A"/>
    <w:rsid w:val="78639DFF"/>
    <w:rsid w:val="788187D8"/>
    <w:rsid w:val="78A2DDA2"/>
    <w:rsid w:val="78AAF2B5"/>
    <w:rsid w:val="78C91DC2"/>
    <w:rsid w:val="78C9B2B8"/>
    <w:rsid w:val="78F99021"/>
    <w:rsid w:val="790D36C1"/>
    <w:rsid w:val="79136229"/>
    <w:rsid w:val="79324B20"/>
    <w:rsid w:val="793F3ACC"/>
    <w:rsid w:val="794776DB"/>
    <w:rsid w:val="795CF41E"/>
    <w:rsid w:val="797179B2"/>
    <w:rsid w:val="7972BE95"/>
    <w:rsid w:val="7975F697"/>
    <w:rsid w:val="7976DF40"/>
    <w:rsid w:val="7988CEA4"/>
    <w:rsid w:val="79932859"/>
    <w:rsid w:val="79951FE2"/>
    <w:rsid w:val="799AAB3C"/>
    <w:rsid w:val="799F1B36"/>
    <w:rsid w:val="79A75ADD"/>
    <w:rsid w:val="79CD12AB"/>
    <w:rsid w:val="79E6D443"/>
    <w:rsid w:val="79F8AC21"/>
    <w:rsid w:val="7A324912"/>
    <w:rsid w:val="7A345F11"/>
    <w:rsid w:val="7A404018"/>
    <w:rsid w:val="7A556D0A"/>
    <w:rsid w:val="7A7A1D0C"/>
    <w:rsid w:val="7A8D4843"/>
    <w:rsid w:val="7A91405E"/>
    <w:rsid w:val="7AAACA58"/>
    <w:rsid w:val="7AF1EB42"/>
    <w:rsid w:val="7AF6A0C1"/>
    <w:rsid w:val="7AFCCD9A"/>
    <w:rsid w:val="7B05DB3C"/>
    <w:rsid w:val="7B08D241"/>
    <w:rsid w:val="7B11DCC6"/>
    <w:rsid w:val="7B579D2A"/>
    <w:rsid w:val="7B6A52BC"/>
    <w:rsid w:val="7B907FC7"/>
    <w:rsid w:val="7B951ACB"/>
    <w:rsid w:val="7B9F1649"/>
    <w:rsid w:val="7BADDD83"/>
    <w:rsid w:val="7BC12278"/>
    <w:rsid w:val="7BD7EB03"/>
    <w:rsid w:val="7BE8A5ED"/>
    <w:rsid w:val="7BFFEF16"/>
    <w:rsid w:val="7C248EA7"/>
    <w:rsid w:val="7C3454AB"/>
    <w:rsid w:val="7C4D2EA6"/>
    <w:rsid w:val="7C51DD17"/>
    <w:rsid w:val="7C53FD8D"/>
    <w:rsid w:val="7C5E95DB"/>
    <w:rsid w:val="7C769DAB"/>
    <w:rsid w:val="7CA76AE2"/>
    <w:rsid w:val="7CBE1682"/>
    <w:rsid w:val="7CCA1C2F"/>
    <w:rsid w:val="7CCBC909"/>
    <w:rsid w:val="7CD83FF1"/>
    <w:rsid w:val="7CE5A02B"/>
    <w:rsid w:val="7CEACF83"/>
    <w:rsid w:val="7D005BBA"/>
    <w:rsid w:val="7D056B46"/>
    <w:rsid w:val="7D084058"/>
    <w:rsid w:val="7D09EC15"/>
    <w:rsid w:val="7D25222F"/>
    <w:rsid w:val="7D28F101"/>
    <w:rsid w:val="7D75F86C"/>
    <w:rsid w:val="7D8CF6F5"/>
    <w:rsid w:val="7D9AD58A"/>
    <w:rsid w:val="7DBE5166"/>
    <w:rsid w:val="7DC4E20F"/>
    <w:rsid w:val="7DDE4F69"/>
    <w:rsid w:val="7DE1732D"/>
    <w:rsid w:val="7DE49793"/>
    <w:rsid w:val="7DE813DE"/>
    <w:rsid w:val="7DFFB1BC"/>
    <w:rsid w:val="7E00AB9D"/>
    <w:rsid w:val="7E1068EC"/>
    <w:rsid w:val="7E1D0687"/>
    <w:rsid w:val="7E22FEAB"/>
    <w:rsid w:val="7E31B110"/>
    <w:rsid w:val="7E754610"/>
    <w:rsid w:val="7E87F7A5"/>
    <w:rsid w:val="7E8A60CF"/>
    <w:rsid w:val="7E8AFDA4"/>
    <w:rsid w:val="7E8C3B95"/>
    <w:rsid w:val="7E956069"/>
    <w:rsid w:val="7EA426FB"/>
    <w:rsid w:val="7EA91E4F"/>
    <w:rsid w:val="7EB08C2A"/>
    <w:rsid w:val="7EB832E8"/>
    <w:rsid w:val="7EB9C0D8"/>
    <w:rsid w:val="7EBEACC5"/>
    <w:rsid w:val="7EC7EEC2"/>
    <w:rsid w:val="7EEA20FF"/>
    <w:rsid w:val="7EEB4AA2"/>
    <w:rsid w:val="7F04FEA7"/>
    <w:rsid w:val="7F0A1B3D"/>
    <w:rsid w:val="7F0E2C31"/>
    <w:rsid w:val="7F1BD4AD"/>
    <w:rsid w:val="7F1F4138"/>
    <w:rsid w:val="7F3CBFE9"/>
    <w:rsid w:val="7F576B42"/>
    <w:rsid w:val="7F6015E5"/>
    <w:rsid w:val="7F6631B7"/>
    <w:rsid w:val="7F67314D"/>
    <w:rsid w:val="7F83F5A5"/>
    <w:rsid w:val="7FA08AEE"/>
    <w:rsid w:val="7FC8D14B"/>
    <w:rsid w:val="7FCF368A"/>
    <w:rsid w:val="7FD8D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 w:type="paragraph" w:styleId="2">
    <w:name w:val="heading 1"/>
    <w:basedOn w:val="1"/>
    <w:next w:val="1"/>
    <w:link w:val="29"/>
    <w:qFormat/>
    <w:uiPriority w:val="9"/>
    <w:pPr>
      <w:keepNext/>
      <w:keepLines/>
      <w:spacing w:before="360" w:after="120"/>
      <w:outlineLvl w:val="0"/>
    </w:pPr>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
    <w:name w:val="heading 2"/>
    <w:basedOn w:val="1"/>
    <w:next w:val="1"/>
    <w:link w:val="32"/>
    <w:unhideWhenUsed/>
    <w:qFormat/>
    <w:uiPriority w:val="9"/>
    <w:pPr>
      <w:keepNext/>
      <w:keepLines/>
      <w:spacing w:before="360" w:after="120"/>
      <w:outlineLvl w:val="1"/>
    </w:pPr>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styleId="4">
    <w:name w:val="heading 3"/>
    <w:basedOn w:val="1"/>
    <w:next w:val="1"/>
    <w:link w:val="39"/>
    <w:unhideWhenUsed/>
    <w:qFormat/>
    <w:uiPriority w:val="9"/>
    <w:pPr>
      <w:keepNext/>
      <w:keepLines/>
      <w:spacing w:before="360" w:after="120"/>
      <w:outlineLvl w:val="2"/>
    </w:pPr>
    <w:rPr>
      <w:rFonts w:asciiTheme="majorHAnsi" w:hAnsiTheme="majorHAnsi" w:eastAsiaTheme="majorEastAsia" w:cstheme="majorBidi"/>
      <w:b/>
      <w:bCs/>
    </w:rPr>
  </w:style>
  <w:style w:type="paragraph" w:styleId="5">
    <w:name w:val="heading 4"/>
    <w:basedOn w:val="1"/>
    <w:next w:val="1"/>
    <w:link w:val="48"/>
    <w:semiHidden/>
    <w:unhideWhenUsed/>
    <w:qFormat/>
    <w:uiPriority w:val="9"/>
    <w:pPr>
      <w:keepNext/>
      <w:keepLines/>
      <w:spacing w:before="80" w:after="40"/>
      <w:outlineLvl w:val="3"/>
    </w:pPr>
    <w:rPr>
      <w:rFonts w:eastAsiaTheme="majorEastAsia" w:cstheme="majorBidi"/>
      <w:i/>
      <w:iCs/>
      <w:color w:val="5C3162" w:themeColor="accent1" w:themeShade="BF"/>
    </w:rPr>
  </w:style>
  <w:style w:type="paragraph" w:styleId="6">
    <w:name w:val="heading 5"/>
    <w:basedOn w:val="1"/>
    <w:next w:val="1"/>
    <w:link w:val="49"/>
    <w:semiHidden/>
    <w:unhideWhenUsed/>
    <w:qFormat/>
    <w:uiPriority w:val="9"/>
    <w:pPr>
      <w:keepNext/>
      <w:keepLines/>
      <w:spacing w:before="80" w:after="40"/>
      <w:outlineLvl w:val="4"/>
    </w:pPr>
    <w:rPr>
      <w:rFonts w:eastAsiaTheme="majorEastAsia" w:cstheme="majorBidi"/>
      <w:color w:val="5C3162" w:themeColor="accent1" w:themeShade="BF"/>
    </w:rPr>
  </w:style>
  <w:style w:type="paragraph" w:styleId="7">
    <w:name w:val="heading 6"/>
    <w:basedOn w:val="1"/>
    <w:next w:val="1"/>
    <w:link w:val="50"/>
    <w:semiHidden/>
    <w:unhideWhenUsed/>
    <w:qFormat/>
    <w:uiPriority w:val="9"/>
    <w:pPr>
      <w:keepNext/>
      <w:keepLines/>
      <w:spacing w:before="40"/>
      <w:outlineLvl w:val="5"/>
    </w:pPr>
    <w:rPr>
      <w:rFonts w:eastAsiaTheme="majorEastAsia" w:cstheme="majorBidi"/>
      <w:i/>
      <w:iCs/>
      <w:color w:val="B277BB" w:themeColor="text1" w:themeTint="A6"/>
      <w14:textFill>
        <w14:solidFill>
          <w14:schemeClr w14:val="tx1">
            <w14:lumMod w14:val="65000"/>
            <w14:lumOff w14:val="35000"/>
          </w14:schemeClr>
        </w14:solidFill>
      </w14:textFill>
    </w:rPr>
  </w:style>
  <w:style w:type="paragraph" w:styleId="8">
    <w:name w:val="heading 7"/>
    <w:basedOn w:val="1"/>
    <w:next w:val="1"/>
    <w:link w:val="51"/>
    <w:semiHidden/>
    <w:unhideWhenUsed/>
    <w:qFormat/>
    <w:uiPriority w:val="9"/>
    <w:pPr>
      <w:keepNext/>
      <w:keepLines/>
      <w:spacing w:before="40"/>
      <w:outlineLvl w:val="6"/>
    </w:pPr>
    <w:rPr>
      <w:rFonts w:eastAsiaTheme="majorEastAsia" w:cstheme="majorBidi"/>
      <w:color w:val="B277BB" w:themeColor="text1" w:themeTint="A6"/>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keepNext/>
      <w:keepLines/>
      <w:outlineLvl w:val="7"/>
    </w:pPr>
    <w:rPr>
      <w:rFonts w:eastAsiaTheme="majorEastAsia" w:cstheme="majorBidi"/>
      <w:i/>
      <w:iCs/>
      <w:color w:val="9751A2" w:themeColor="text1" w:themeTint="D9"/>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outlineLvl w:val="8"/>
    </w:pPr>
    <w:rPr>
      <w:rFonts w:eastAsiaTheme="majorEastAsia" w:cstheme="majorBidi"/>
      <w:color w:val="9751A2"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67"/>
    <w:unhideWhenUsed/>
    <w:qFormat/>
    <w:uiPriority w:val="99"/>
    <w:rPr>
      <w:sz w:val="20"/>
      <w:szCs w:val="20"/>
    </w:rPr>
  </w:style>
  <w:style w:type="paragraph" w:styleId="15">
    <w:name w:val="annotation subject"/>
    <w:basedOn w:val="14"/>
    <w:next w:val="14"/>
    <w:link w:val="68"/>
    <w:semiHidden/>
    <w:unhideWhenUsed/>
    <w:qFormat/>
    <w:uiPriority w:val="99"/>
    <w:rPr>
      <w:b/>
      <w:bCs/>
    </w:rPr>
  </w:style>
  <w:style w:type="character" w:styleId="16">
    <w:name w:val="Emphasis"/>
    <w:basedOn w:val="11"/>
    <w:qFormat/>
    <w:uiPriority w:val="20"/>
    <w:rPr>
      <w:i/>
      <w:iCs/>
      <w:color w:val="41B6E6" w:themeColor="accent2"/>
      <w14:textFill>
        <w14:solidFill>
          <w14:schemeClr w14:val="accent2"/>
        </w14:solidFill>
      </w14:textFill>
    </w:rPr>
  </w:style>
  <w:style w:type="paragraph" w:styleId="17">
    <w:name w:val="footer"/>
    <w:basedOn w:val="1"/>
    <w:link w:val="47"/>
    <w:unhideWhenUsed/>
    <w:qFormat/>
    <w:uiPriority w:val="99"/>
    <w:pPr>
      <w:tabs>
        <w:tab w:val="center" w:pos="4680"/>
        <w:tab w:val="right" w:pos="9360"/>
      </w:tabs>
    </w:pPr>
  </w:style>
  <w:style w:type="paragraph" w:styleId="18">
    <w:name w:val="header"/>
    <w:basedOn w:val="1"/>
    <w:link w:val="46"/>
    <w:unhideWhenUsed/>
    <w:qFormat/>
    <w:uiPriority w:val="99"/>
    <w:pPr>
      <w:tabs>
        <w:tab w:val="center" w:pos="4680"/>
        <w:tab w:val="right" w:pos="9360"/>
      </w:tabs>
    </w:pPr>
  </w:style>
  <w:style w:type="character" w:styleId="19">
    <w:name w:val="Hyperlink"/>
    <w:basedOn w:val="11"/>
    <w:unhideWhenUsed/>
    <w:qFormat/>
    <w:uiPriority w:val="99"/>
    <w:rPr>
      <w:color w:val="41B6E6" w:themeColor="accent2"/>
      <w:u w:val="single"/>
      <w14:textFill>
        <w14:solidFill>
          <w14:schemeClr w14:val="accent2"/>
        </w14:solidFill>
      </w14:textFill>
    </w:rPr>
  </w:style>
  <w:style w:type="paragraph" w:styleId="20">
    <w:name w:val="List Bullet"/>
    <w:basedOn w:val="1"/>
    <w:semiHidden/>
    <w:unhideWhenUsed/>
    <w:qFormat/>
    <w:uiPriority w:val="99"/>
    <w:pPr>
      <w:tabs>
        <w:tab w:val="left" w:pos="360"/>
      </w:tabs>
      <w:ind w:left="360" w:hanging="360"/>
      <w:contextualSpacing/>
    </w:pPr>
  </w:style>
  <w:style w:type="paragraph" w:styleId="21">
    <w:name w:val="Subtitle"/>
    <w:basedOn w:val="1"/>
    <w:next w:val="1"/>
    <w:link w:val="41"/>
    <w:qFormat/>
    <w:uiPriority w:val="11"/>
    <w:rPr>
      <w:rFonts w:asciiTheme="majorHAnsi" w:hAnsiTheme="majorHAnsi" w:eastAsiaTheme="minorEastAsia"/>
      <w:b/>
      <w:spacing w:val="15"/>
      <w:sz w:val="28"/>
      <w:szCs w:val="22"/>
    </w:rPr>
  </w:style>
  <w:style w:type="table" w:styleId="22">
    <w:name w:val="Table Grid"/>
    <w:basedOn w:val="12"/>
    <w:qFormat/>
    <w:uiPriority w:val="59"/>
    <w:tblPr>
      <w:tblBorders>
        <w:top w:val="single" w:color="7A4183" w:themeColor="text1" w:sz="4" w:space="0"/>
        <w:left w:val="single" w:color="7A4183" w:themeColor="text1" w:sz="4" w:space="0"/>
        <w:bottom w:val="single" w:color="7A4183" w:themeColor="text1" w:sz="4" w:space="0"/>
        <w:right w:val="single" w:color="7A4183" w:themeColor="text1" w:sz="4" w:space="0"/>
        <w:insideH w:val="single" w:color="7A4183" w:themeColor="text1" w:sz="4" w:space="0"/>
        <w:insideV w:val="single" w:color="7A4183" w:themeColor="text1" w:sz="4" w:space="0"/>
      </w:tblBorders>
    </w:tblPr>
  </w:style>
  <w:style w:type="paragraph" w:styleId="23">
    <w:name w:val="Title"/>
    <w:basedOn w:val="1"/>
    <w:next w:val="1"/>
    <w:link w:val="40"/>
    <w:qFormat/>
    <w:uiPriority w:val="10"/>
    <w:pPr>
      <w:spacing w:before="240" w:after="120"/>
    </w:pPr>
    <w:rPr>
      <w:rFonts w:ascii="Arial" w:hAnsi="Arial"/>
      <w:color w:val="7A4183" w:themeColor="accent1"/>
      <w:sz w:val="52"/>
      <w:szCs w:val="50"/>
      <w14:textFill>
        <w14:solidFill>
          <w14:schemeClr w14:val="accent1"/>
        </w14:solidFill>
      </w14:textFill>
    </w:rPr>
  </w:style>
  <w:style w:type="paragraph" w:styleId="24">
    <w:name w:val="List Paragraph"/>
    <w:basedOn w:val="1"/>
    <w:qFormat/>
    <w:uiPriority w:val="34"/>
    <w:pPr>
      <w:ind w:left="720"/>
      <w:contextualSpacing/>
    </w:pPr>
  </w:style>
  <w:style w:type="paragraph" w:customStyle="1" w:styleId="25">
    <w:name w:val="Document Headline"/>
    <w:qFormat/>
    <w:uiPriority w:val="0"/>
    <w:rPr>
      <w:rFonts w:ascii="Arial" w:hAnsi="Arial" w:eastAsia="SimSun" w:cstheme="minorBidi"/>
      <w:color w:val="7A4183" w:themeColor="accent1"/>
      <w:kern w:val="2"/>
      <w:sz w:val="50"/>
      <w:szCs w:val="50"/>
      <w:lang w:val="en-US" w:eastAsia="zh-CN" w:bidi="ar-SA"/>
      <w14:textFill>
        <w14:solidFill>
          <w14:schemeClr w14:val="accent1"/>
        </w14:solidFill>
      </w14:textFill>
      <w14:ligatures w14:val="standardContextual"/>
    </w:rPr>
  </w:style>
  <w:style w:type="paragraph" w:customStyle="1" w:styleId="26">
    <w:name w:val="Subhead"/>
    <w:qFormat/>
    <w:uiPriority w:val="0"/>
    <w:pPr>
      <w:spacing w:line="320" w:lineRule="exact"/>
    </w:pPr>
    <w:rPr>
      <w:rFonts w:ascii="Arial" w:hAnsi="Arial" w:eastAsia="SimSun" w:cstheme="minorBidi"/>
      <w:color w:val="7A4183" w:themeColor="accent1"/>
      <w:kern w:val="2"/>
      <w:sz w:val="24"/>
      <w:szCs w:val="24"/>
      <w:lang w:val="en-US" w:eastAsia="zh-CN" w:bidi="ar-SA"/>
      <w14:textFill>
        <w14:solidFill>
          <w14:schemeClr w14:val="accent1"/>
        </w14:solidFill>
      </w14:textFill>
      <w14:ligatures w14:val="standardContextual"/>
    </w:rPr>
  </w:style>
  <w:style w:type="paragraph" w:customStyle="1" w:styleId="27">
    <w:name w:val="Body Copy"/>
    <w:basedOn w:val="25"/>
    <w:qFormat/>
    <w:uiPriority w:val="0"/>
    <w:pPr>
      <w:spacing w:line="280" w:lineRule="exact"/>
    </w:pPr>
    <w:rPr>
      <w:color w:val="auto"/>
      <w:sz w:val="18"/>
      <w:szCs w:val="18"/>
    </w:rPr>
  </w:style>
  <w:style w:type="character" w:customStyle="1" w:styleId="28">
    <w:name w:val="Important Idea"/>
    <w:uiPriority w:val="1"/>
    <w:rPr>
      <w:rFonts w:ascii="Arial" w:hAnsi="Arial"/>
      <w:b/>
      <w:color w:val="auto"/>
    </w:rPr>
  </w:style>
  <w:style w:type="character" w:customStyle="1" w:styleId="29">
    <w:name w:val="Heading 1 Char"/>
    <w:basedOn w:val="11"/>
    <w:link w:val="2"/>
    <w:qFormat/>
    <w:uiPriority w:val="9"/>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0">
    <w:name w:val="Quote"/>
    <w:basedOn w:val="1"/>
    <w:next w:val="1"/>
    <w:link w:val="31"/>
    <w:qFormat/>
    <w:uiPriority w:val="29"/>
    <w:rPr>
      <w:i/>
      <w:iCs/>
      <w:color w:val="7A4183" w:themeColor="text1"/>
      <w14:textFill>
        <w14:solidFill>
          <w14:schemeClr w14:val="tx1"/>
        </w14:solidFill>
      </w14:textFill>
    </w:rPr>
  </w:style>
  <w:style w:type="character" w:customStyle="1" w:styleId="31">
    <w:name w:val="Quote Char"/>
    <w:basedOn w:val="11"/>
    <w:link w:val="30"/>
    <w:uiPriority w:val="29"/>
    <w:rPr>
      <w:i/>
      <w:iCs/>
      <w:color w:val="7A4183" w:themeColor="text1"/>
      <w14:textFill>
        <w14:solidFill>
          <w14:schemeClr w14:val="tx1"/>
        </w14:solidFill>
      </w14:textFill>
    </w:rPr>
  </w:style>
  <w:style w:type="character" w:customStyle="1" w:styleId="32">
    <w:name w:val="Heading 2 Char"/>
    <w:basedOn w:val="11"/>
    <w:link w:val="3"/>
    <w:qFormat/>
    <w:uiPriority w:val="9"/>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customStyle="1" w:styleId="33">
    <w:name w:val="Bulleted list"/>
    <w:basedOn w:val="20"/>
    <w:link w:val="34"/>
    <w:autoRedefine/>
    <w:qFormat/>
    <w:uiPriority w:val="1"/>
    <w:pPr>
      <w:tabs>
        <w:tab w:val="clear" w:pos="360"/>
      </w:tabs>
      <w:ind w:left="720"/>
    </w:pPr>
  </w:style>
  <w:style w:type="character" w:customStyle="1" w:styleId="34">
    <w:name w:val="Bulleted list Char"/>
    <w:basedOn w:val="11"/>
    <w:link w:val="33"/>
    <w:qFormat/>
    <w:uiPriority w:val="1"/>
    <w:rPr>
      <w:color w:val="000000" w:themeColor="text2"/>
      <w14:textFill>
        <w14:solidFill>
          <w14:schemeClr w14:val="tx2"/>
        </w14:solidFill>
      </w14:textFill>
    </w:rPr>
  </w:style>
  <w:style w:type="paragraph" w:customStyle="1" w:styleId="35">
    <w:name w:val="Image title 1"/>
    <w:basedOn w:val="1"/>
    <w:next w:val="1"/>
    <w:link w:val="36"/>
    <w:qFormat/>
    <w:uiPriority w:val="29"/>
    <w:rPr>
      <w:b/>
      <w:smallCaps/>
      <w:color w:val="7A4183" w:themeColor="accent1"/>
      <w14:textFill>
        <w14:solidFill>
          <w14:schemeClr w14:val="accent1"/>
        </w14:solidFill>
      </w14:textFill>
    </w:rPr>
  </w:style>
  <w:style w:type="character" w:customStyle="1" w:styleId="36">
    <w:name w:val="Image title 1 Char"/>
    <w:basedOn w:val="11"/>
    <w:link w:val="35"/>
    <w:uiPriority w:val="29"/>
    <w:rPr>
      <w:b/>
      <w:smallCaps/>
      <w:color w:val="7A4183" w:themeColor="accent1"/>
      <w14:textFill>
        <w14:solidFill>
          <w14:schemeClr w14:val="accent1"/>
        </w14:solidFill>
      </w14:textFill>
    </w:rPr>
  </w:style>
  <w:style w:type="paragraph" w:customStyle="1" w:styleId="37">
    <w:name w:val="Image title 2"/>
    <w:basedOn w:val="1"/>
    <w:next w:val="1"/>
    <w:link w:val="38"/>
    <w:qFormat/>
    <w:uiPriority w:val="29"/>
    <w:rPr>
      <w:smallCaps/>
      <w:color w:val="41B6E6" w:themeColor="accent2"/>
      <w14:textFill>
        <w14:solidFill>
          <w14:schemeClr w14:val="accent2"/>
        </w14:solidFill>
      </w14:textFill>
    </w:rPr>
  </w:style>
  <w:style w:type="character" w:customStyle="1" w:styleId="38">
    <w:name w:val="Image title 2 Char"/>
    <w:basedOn w:val="11"/>
    <w:link w:val="37"/>
    <w:qFormat/>
    <w:uiPriority w:val="29"/>
    <w:rPr>
      <w:smallCaps/>
      <w:color w:val="41B6E6" w:themeColor="accent2"/>
      <w14:textFill>
        <w14:solidFill>
          <w14:schemeClr w14:val="accent2"/>
        </w14:solidFill>
      </w14:textFill>
    </w:rPr>
  </w:style>
  <w:style w:type="character" w:customStyle="1" w:styleId="39">
    <w:name w:val="Heading 3 Char"/>
    <w:basedOn w:val="11"/>
    <w:link w:val="4"/>
    <w:qFormat/>
    <w:uiPriority w:val="9"/>
    <w:rPr>
      <w:rFonts w:asciiTheme="majorHAnsi" w:hAnsiTheme="majorHAnsi" w:eastAsiaTheme="majorEastAsia" w:cstheme="majorBidi"/>
      <w:b/>
      <w:bCs/>
      <w:color w:val="000000" w:themeColor="text2"/>
      <w14:textFill>
        <w14:solidFill>
          <w14:schemeClr w14:val="tx2"/>
        </w14:solidFill>
      </w14:textFill>
    </w:rPr>
  </w:style>
  <w:style w:type="character" w:customStyle="1" w:styleId="40">
    <w:name w:val="Title Char"/>
    <w:basedOn w:val="11"/>
    <w:link w:val="23"/>
    <w:qFormat/>
    <w:uiPriority w:val="10"/>
    <w:rPr>
      <w:rFonts w:ascii="Arial" w:hAnsi="Arial"/>
      <w:color w:val="7A4183" w:themeColor="accent1"/>
      <w:sz w:val="52"/>
      <w:szCs w:val="50"/>
      <w14:textFill>
        <w14:solidFill>
          <w14:schemeClr w14:val="accent1"/>
        </w14:solidFill>
      </w14:textFill>
    </w:rPr>
  </w:style>
  <w:style w:type="character" w:customStyle="1" w:styleId="41">
    <w:name w:val="Subtitle Char"/>
    <w:basedOn w:val="11"/>
    <w:link w:val="21"/>
    <w:qFormat/>
    <w:uiPriority w:val="11"/>
    <w:rPr>
      <w:rFonts w:asciiTheme="majorHAnsi" w:hAnsiTheme="majorHAnsi" w:eastAsiaTheme="minorEastAsia"/>
      <w:b/>
      <w:color w:val="000000" w:themeColor="text2"/>
      <w:spacing w:val="15"/>
      <w:sz w:val="28"/>
      <w:szCs w:val="22"/>
      <w14:textFill>
        <w14:solidFill>
          <w14:schemeClr w14:val="tx2"/>
        </w14:solidFill>
      </w14:textFill>
    </w:rPr>
  </w:style>
  <w:style w:type="paragraph" w:styleId="42">
    <w:name w:val="Intense Quote"/>
    <w:basedOn w:val="1"/>
    <w:next w:val="1"/>
    <w:link w:val="43"/>
    <w:qFormat/>
    <w:uiPriority w:val="30"/>
    <w:pPr>
      <w:pBdr>
        <w:top w:val="single" w:color="7A4183" w:themeColor="accent1" w:sz="4" w:space="10"/>
        <w:bottom w:val="single" w:color="7A4183" w:themeColor="accent1" w:sz="4" w:space="10"/>
      </w:pBdr>
      <w:spacing w:before="360" w:after="360"/>
      <w:ind w:left="864" w:right="864"/>
      <w:jc w:val="center"/>
    </w:pPr>
    <w:rPr>
      <w:i/>
      <w:iCs/>
      <w:color w:val="7A4183" w:themeColor="text1"/>
      <w14:textFill>
        <w14:solidFill>
          <w14:schemeClr w14:val="tx1"/>
        </w14:solidFill>
      </w14:textFill>
    </w:rPr>
  </w:style>
  <w:style w:type="character" w:customStyle="1" w:styleId="43">
    <w:name w:val="Intense Quote Char"/>
    <w:basedOn w:val="11"/>
    <w:link w:val="42"/>
    <w:qFormat/>
    <w:uiPriority w:val="30"/>
    <w:rPr>
      <w:i/>
      <w:iCs/>
      <w:color w:val="7A4183" w:themeColor="text1"/>
      <w14:textFill>
        <w14:solidFill>
          <w14:schemeClr w14:val="tx1"/>
        </w14:solidFill>
      </w14:textFill>
    </w:rPr>
  </w:style>
  <w:style w:type="character" w:customStyle="1" w:styleId="44">
    <w:name w:val="Subtle Reference"/>
    <w:basedOn w:val="11"/>
    <w:qFormat/>
    <w:uiPriority w:val="31"/>
    <w:rPr>
      <w:smallCaps/>
      <w:color w:val="41B6E6" w:themeColor="accent2"/>
      <w14:textFill>
        <w14:solidFill>
          <w14:schemeClr w14:val="accent2"/>
        </w14:solidFill>
      </w14:textFill>
    </w:rPr>
  </w:style>
  <w:style w:type="character" w:customStyle="1" w:styleId="45">
    <w:name w:val="Intense Reference"/>
    <w:basedOn w:val="11"/>
    <w:qFormat/>
    <w:uiPriority w:val="32"/>
    <w:rPr>
      <w:b/>
      <w:bCs/>
      <w:smallCaps/>
      <w:color w:val="7A4183" w:themeColor="accent1"/>
      <w:spacing w:val="5"/>
      <w14:textFill>
        <w14:solidFill>
          <w14:schemeClr w14:val="accent1"/>
        </w14:solidFill>
      </w14:textFill>
    </w:rPr>
  </w:style>
  <w:style w:type="character" w:customStyle="1" w:styleId="46">
    <w:name w:val="Header Char"/>
    <w:basedOn w:val="11"/>
    <w:link w:val="18"/>
    <w:qFormat/>
    <w:uiPriority w:val="99"/>
    <w:rPr>
      <w:color w:val="000000" w:themeColor="text2"/>
      <w14:textFill>
        <w14:solidFill>
          <w14:schemeClr w14:val="tx2"/>
        </w14:solidFill>
      </w14:textFill>
    </w:rPr>
  </w:style>
  <w:style w:type="character" w:customStyle="1" w:styleId="47">
    <w:name w:val="Footer Char"/>
    <w:basedOn w:val="11"/>
    <w:link w:val="17"/>
    <w:qFormat/>
    <w:uiPriority w:val="99"/>
    <w:rPr>
      <w:color w:val="000000" w:themeColor="text2"/>
      <w14:textFill>
        <w14:solidFill>
          <w14:schemeClr w14:val="tx2"/>
        </w14:solidFill>
      </w14:textFill>
    </w:rPr>
  </w:style>
  <w:style w:type="character" w:customStyle="1" w:styleId="48">
    <w:name w:val="Heading 4 Char"/>
    <w:basedOn w:val="11"/>
    <w:link w:val="5"/>
    <w:semiHidden/>
    <w:qFormat/>
    <w:uiPriority w:val="9"/>
    <w:rPr>
      <w:rFonts w:eastAsiaTheme="majorEastAsia" w:cstheme="majorBidi"/>
      <w:i/>
      <w:iCs/>
      <w:color w:val="5C3162" w:themeColor="accent1" w:themeShade="BF"/>
    </w:rPr>
  </w:style>
  <w:style w:type="character" w:customStyle="1" w:styleId="49">
    <w:name w:val="Heading 5 Char"/>
    <w:basedOn w:val="11"/>
    <w:link w:val="6"/>
    <w:semiHidden/>
    <w:qFormat/>
    <w:uiPriority w:val="9"/>
    <w:rPr>
      <w:rFonts w:eastAsiaTheme="majorEastAsia" w:cstheme="majorBidi"/>
      <w:color w:val="5C3162" w:themeColor="accent1" w:themeShade="BF"/>
    </w:rPr>
  </w:style>
  <w:style w:type="character" w:customStyle="1" w:styleId="50">
    <w:name w:val="Heading 6 Char"/>
    <w:basedOn w:val="11"/>
    <w:link w:val="7"/>
    <w:semiHidden/>
    <w:uiPriority w:val="9"/>
    <w:rPr>
      <w:rFonts w:eastAsiaTheme="majorEastAsia" w:cstheme="majorBidi"/>
      <w:i/>
      <w:iCs/>
      <w:color w:val="B277BB" w:themeColor="text1" w:themeTint="A6"/>
      <w14:textFill>
        <w14:solidFill>
          <w14:schemeClr w14:val="tx1">
            <w14:lumMod w14:val="65000"/>
            <w14:lumOff w14:val="35000"/>
          </w14:schemeClr>
        </w14:solidFill>
      </w14:textFill>
    </w:rPr>
  </w:style>
  <w:style w:type="character" w:customStyle="1" w:styleId="51">
    <w:name w:val="Heading 7 Char"/>
    <w:basedOn w:val="11"/>
    <w:link w:val="8"/>
    <w:semiHidden/>
    <w:qFormat/>
    <w:uiPriority w:val="9"/>
    <w:rPr>
      <w:rFonts w:eastAsiaTheme="majorEastAsia" w:cstheme="majorBidi"/>
      <w:color w:val="B277BB" w:themeColor="text1" w:themeTint="A6"/>
      <w14:textFill>
        <w14:solidFill>
          <w14:schemeClr w14:val="tx1">
            <w14:lumMod w14:val="65000"/>
            <w14:lumOff w14:val="35000"/>
          </w14:schemeClr>
        </w14:solidFill>
      </w14:textFill>
    </w:rPr>
  </w:style>
  <w:style w:type="character" w:customStyle="1" w:styleId="52">
    <w:name w:val="Heading 8 Char"/>
    <w:basedOn w:val="11"/>
    <w:link w:val="9"/>
    <w:semiHidden/>
    <w:qFormat/>
    <w:uiPriority w:val="9"/>
    <w:rPr>
      <w:rFonts w:eastAsiaTheme="majorEastAsia" w:cstheme="majorBidi"/>
      <w:i/>
      <w:iCs/>
      <w:color w:val="9751A2" w:themeColor="text1" w:themeTint="D9"/>
      <w14:textFill>
        <w14:solidFill>
          <w14:schemeClr w14:val="tx1">
            <w14:lumMod w14:val="85000"/>
            <w14:lumOff w14:val="15000"/>
          </w14:schemeClr>
        </w14:solidFill>
      </w14:textFill>
    </w:rPr>
  </w:style>
  <w:style w:type="character" w:customStyle="1" w:styleId="53">
    <w:name w:val="Heading 9 Char"/>
    <w:basedOn w:val="11"/>
    <w:link w:val="10"/>
    <w:semiHidden/>
    <w:qFormat/>
    <w:uiPriority w:val="9"/>
    <w:rPr>
      <w:rFonts w:eastAsiaTheme="majorEastAsia" w:cstheme="majorBidi"/>
      <w:color w:val="9751A2" w:themeColor="text1" w:themeTint="D9"/>
      <w14:textFill>
        <w14:solidFill>
          <w14:schemeClr w14:val="tx1">
            <w14:lumMod w14:val="85000"/>
            <w14:lumOff w14:val="15000"/>
          </w14:schemeClr>
        </w14:solidFill>
      </w14:textFill>
    </w:rPr>
  </w:style>
  <w:style w:type="character" w:customStyle="1" w:styleId="54">
    <w:name w:val="Intense Emphasis"/>
    <w:basedOn w:val="11"/>
    <w:qFormat/>
    <w:uiPriority w:val="21"/>
    <w:rPr>
      <w:i/>
      <w:iCs/>
      <w:color w:val="5C3162" w:themeColor="accent1" w:themeShade="BF"/>
    </w:rPr>
  </w:style>
  <w:style w:type="paragraph" w:customStyle="1" w:styleId="55">
    <w:name w:val="msonormal"/>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paragraph" w:customStyle="1" w:styleId="56">
    <w:name w:val="paragraph"/>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57">
    <w:name w:val="scxw71807073"/>
    <w:basedOn w:val="11"/>
    <w:qFormat/>
    <w:uiPriority w:val="0"/>
  </w:style>
  <w:style w:type="character" w:customStyle="1" w:styleId="58">
    <w:name w:val="wacimagecontainer"/>
    <w:basedOn w:val="11"/>
    <w:qFormat/>
    <w:uiPriority w:val="0"/>
  </w:style>
  <w:style w:type="character" w:customStyle="1" w:styleId="59">
    <w:name w:val="wacimageborder"/>
    <w:basedOn w:val="11"/>
    <w:qFormat/>
    <w:uiPriority w:val="0"/>
  </w:style>
  <w:style w:type="character" w:customStyle="1" w:styleId="60">
    <w:name w:val="textrun"/>
    <w:basedOn w:val="11"/>
    <w:qFormat/>
    <w:uiPriority w:val="0"/>
  </w:style>
  <w:style w:type="character" w:customStyle="1" w:styleId="61">
    <w:name w:val="normaltextrun"/>
    <w:basedOn w:val="11"/>
    <w:qFormat/>
    <w:uiPriority w:val="0"/>
  </w:style>
  <w:style w:type="character" w:customStyle="1" w:styleId="62">
    <w:name w:val="eop"/>
    <w:basedOn w:val="11"/>
    <w:qFormat/>
    <w:uiPriority w:val="0"/>
  </w:style>
  <w:style w:type="paragraph" w:customStyle="1" w:styleId="63">
    <w:name w:val="outlineelement"/>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64">
    <w:name w:val="tabrun"/>
    <w:basedOn w:val="11"/>
    <w:qFormat/>
    <w:uiPriority w:val="0"/>
  </w:style>
  <w:style w:type="character" w:customStyle="1" w:styleId="65">
    <w:name w:val="tabchar"/>
    <w:basedOn w:val="11"/>
    <w:qFormat/>
    <w:uiPriority w:val="0"/>
  </w:style>
  <w:style w:type="character" w:customStyle="1" w:styleId="66">
    <w:name w:val="tableaderchars"/>
    <w:basedOn w:val="11"/>
    <w:qFormat/>
    <w:uiPriority w:val="0"/>
  </w:style>
  <w:style w:type="character" w:customStyle="1" w:styleId="67">
    <w:name w:val="Comment Text Char"/>
    <w:basedOn w:val="11"/>
    <w:link w:val="14"/>
    <w:qFormat/>
    <w:uiPriority w:val="99"/>
    <w:rPr>
      <w:sz w:val="20"/>
      <w:szCs w:val="20"/>
    </w:rPr>
  </w:style>
  <w:style w:type="character" w:customStyle="1" w:styleId="68">
    <w:name w:val="Comment Subject Char"/>
    <w:basedOn w:val="67"/>
    <w:link w:val="15"/>
    <w:semiHidden/>
    <w:uiPriority w:val="99"/>
    <w:rPr>
      <w:b/>
      <w:bCs/>
      <w:sz w:val="20"/>
      <w:szCs w:val="20"/>
    </w:rPr>
  </w:style>
  <w:style w:type="character" w:customStyle="1" w:styleId="69">
    <w:name w:val="Mention"/>
    <w:basedOn w:val="11"/>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70A8D18E64649924215A14225B8EC" ma:contentTypeVersion="19" ma:contentTypeDescription="Create a new document." ma:contentTypeScope="" ma:versionID="0a72e2a334d4b91f521c6e4f7bd75ee1">
  <xsd:schema xmlns:xsd="http://www.w3.org/2001/XMLSchema" xmlns:xs="http://www.w3.org/2001/XMLSchema" xmlns:p="http://schemas.microsoft.com/office/2006/metadata/properties" xmlns:ns2="8c958e96-0d63-40e1-8db7-83cf487dfcce" xmlns:ns3="c4b31a3f-f7b5-4500-9d60-0717bc41eaad" targetNamespace="http://schemas.microsoft.com/office/2006/metadata/properties" ma:root="true" ma:fieldsID="180c21b708947e9f94702ec8f5f62deb" ns2:_="" ns3:_="">
    <xsd:import namespace="8c958e96-0d63-40e1-8db7-83cf487dfcce"/>
    <xsd:import namespace="c4b31a3f-f7b5-4500-9d60-0717bc41eaad"/>
    <xsd:element name="properties">
      <xsd:complexType>
        <xsd:sequence>
          <xsd:element name="documentManagement">
            <xsd:complexType>
              <xsd:all>
                <xsd:element ref="ns2:SharedWithUsers" minOccurs="0"/>
                <xsd:element ref="ns2:SharedWithDetails" minOccurs="0"/>
                <xsd:element ref="ns3:StateOffice" minOccurs="0"/>
                <xsd:element ref="ns3:ApproverComments" minOccurs="0"/>
                <xsd:element ref="ns3:RequestTyp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58e96-0d63-40e1-8db7-83cf487df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27d96b-db86-4f7f-87ba-9cb68e135c7f}" ma:internalName="TaxCatchAll" ma:showField="CatchAllData" ma:web="8c958e96-0d63-40e1-8db7-83cf487df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1a3f-f7b5-4500-9d60-0717bc41eaad" elementFormDefault="qualified">
    <xsd:import namespace="http://schemas.microsoft.com/office/2006/documentManagement/types"/>
    <xsd:import namespace="http://schemas.microsoft.com/office/infopath/2007/PartnerControls"/>
    <xsd:element name="StateOffice" ma:index="10" nillable="true" ma:displayName="State Office" ma:description="State where request Originates from" ma:format="Dropdown" ma:internalName="StateOffice">
      <xsd:simpleType>
        <xsd:restriction base="dms:Choice">
          <xsd:enumeration value="Abuja"/>
          <xsd:enumeration value="Adamawa"/>
          <xsd:enumeration value="Akwa Ibom"/>
          <xsd:enumeration value="Bauchi"/>
          <xsd:enumeration value="Benue"/>
          <xsd:enumeration value="Borno"/>
          <xsd:enumeration value="Ekiti"/>
          <xsd:enumeration value="Katsina"/>
          <xsd:enumeration value="Kebbi"/>
          <xsd:enumeration value="Nassarawa"/>
          <xsd:enumeration value="Sokoto"/>
          <xsd:enumeration value="Taraba"/>
        </xsd:restriction>
      </xsd:simpleType>
    </xsd:element>
    <xsd:element name="ApproverComments" ma:index="11" nillable="true" ma:displayName="Approver Comments" ma:description="Reason for disapproval to be stated" ma:format="Dropdown" ma:internalName="ApproverComments">
      <xsd:simpleType>
        <xsd:restriction base="dms:Note">
          <xsd:maxLength value="255"/>
        </xsd:restriction>
      </xsd:simpleType>
    </xsd:element>
    <xsd:element name="RequestType" ma:index="12" nillable="true" ma:displayName="Request Type" ma:description="Cash Advance/Retirement/Payment Request" ma:format="Dropdown" ma:internalName="RequestType">
      <xsd:simpleType>
        <xsd:restriction base="dms:Choice">
          <xsd:enumeration value="Cash Advance"/>
          <xsd:enumeration value="Retirement"/>
          <xsd:enumeration value="Payment Reques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958e96-0d63-40e1-8db7-83cf487dfcce" xsi:nil="true"/>
    <ApproverComments xmlns="c4b31a3f-f7b5-4500-9d60-0717bc41eaad" xsi:nil="true"/>
    <StateOffice xmlns="c4b31a3f-f7b5-4500-9d60-0717bc41eaad" xsi:nil="true"/>
    <RequestType xmlns="c4b31a3f-f7b5-4500-9d60-0717bc41eaad" xsi:nil="true"/>
    <lcf76f155ced4ddcb4097134ff3c332f xmlns="c4b31a3f-f7b5-4500-9d60-0717bc41ea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0BAEE-BBDB-42EC-93BF-32D2678D6FBB}">
  <ds:schemaRefs/>
</ds:datastoreItem>
</file>

<file path=customXml/itemProps2.xml><?xml version="1.0" encoding="utf-8"?>
<ds:datastoreItem xmlns:ds="http://schemas.openxmlformats.org/officeDocument/2006/customXml" ds:itemID="{31EBA28F-C294-437E-9327-4E02ABBF6C42}">
  <ds:schemaRefs/>
</ds:datastoreItem>
</file>

<file path=customXml/itemProps3.xml><?xml version="1.0" encoding="utf-8"?>
<ds:datastoreItem xmlns:ds="http://schemas.openxmlformats.org/officeDocument/2006/customXml" ds:itemID="{E54EAC27-CA02-45B3-B7CD-381719E0DCC5}">
  <ds:schemaRefs/>
</ds:datastoreItem>
</file>

<file path=docProps/app.xml><?xml version="1.0" encoding="utf-8"?>
<Properties xmlns="http://schemas.openxmlformats.org/officeDocument/2006/extended-properties" xmlns:vt="http://schemas.openxmlformats.org/officeDocument/2006/docPropsVTypes">
  <Template>Normal</Template>
  <Pages>18</Pages>
  <Words>5984</Words>
  <Characters>37369</Characters>
  <Lines>310</Lines>
  <Paragraphs>87</Paragraphs>
  <TotalTime>4</TotalTime>
  <ScaleCrop>false</ScaleCrop>
  <LinksUpToDate>false</LinksUpToDate>
  <CharactersWithSpaces>43655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2026-04-28T11:39:00Z</dcterms:created>
  <dc:creator>Mathias Sunama</dc:creator>
  <cp:lastModifiedBy>ASPC</cp:lastModifiedBy>
  <dcterms:modified xsi:type="dcterms:W3CDTF">2026-04-28T11:48:49Z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c0e82391306d141381d363bf7705252f7699f7c29bfca51e6980e9ae65fa2352</vt:lpwstr>
  </property>
  <property fmtid="{D5CDD505-2E9C-101B-9397-08002B2CF9AE}" pid="3" name="KSOProductBuildVer">
    <vt:lpwstr>1033-12.1.0.25862</vt:lpwstr>
  </property>
  <property fmtid="{D5CDD505-2E9C-101B-9397-08002B2CF9AE}" pid="4" name="ICV">
    <vt:lpwstr>B342492F28E64CC2986415161B35A0EA_13</vt:lpwstr>
  </property>
</Properties>
</file>