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251" w:type="dxa"/>
        <w:tblInd w:w="-1026" w:type="dxa"/>
        <w:tblLook w:val="04A0" w:firstRow="1" w:lastRow="0" w:firstColumn="1" w:lastColumn="0" w:noHBand="0" w:noVBand="1"/>
      </w:tblPr>
      <w:tblGrid>
        <w:gridCol w:w="628"/>
        <w:gridCol w:w="2043"/>
        <w:gridCol w:w="7668"/>
        <w:gridCol w:w="1923"/>
        <w:gridCol w:w="1559"/>
        <w:gridCol w:w="1430"/>
      </w:tblGrid>
      <w:tr w:rsidR="00377DED" w14:paraId="7D04699C" w14:textId="77777777" w:rsidTr="00987DA9">
        <w:trPr>
          <w:trHeight w:val="1250"/>
        </w:trPr>
        <w:tc>
          <w:tcPr>
            <w:tcW w:w="628" w:type="dxa"/>
          </w:tcPr>
          <w:p w14:paraId="45BD54C2" w14:textId="296575FF" w:rsidR="00CE4699" w:rsidRPr="00F04491" w:rsidRDefault="00CE4699" w:rsidP="00CE4699">
            <w:pPr>
              <w:rPr>
                <w:b/>
                <w:bCs/>
              </w:rPr>
            </w:pPr>
            <w:bookmarkStart w:id="0" w:name="_GoBack"/>
            <w:bookmarkEnd w:id="0"/>
            <w:r w:rsidRPr="00F04491">
              <w:rPr>
                <w:b/>
                <w:bCs/>
              </w:rPr>
              <w:t>S/N</w:t>
            </w:r>
          </w:p>
        </w:tc>
        <w:tc>
          <w:tcPr>
            <w:tcW w:w="2043" w:type="dxa"/>
          </w:tcPr>
          <w:p w14:paraId="0B696169" w14:textId="26624BE6" w:rsidR="00CE4699" w:rsidRPr="00F04491" w:rsidRDefault="00CE4699">
            <w:pPr>
              <w:rPr>
                <w:b/>
                <w:bCs/>
              </w:rPr>
            </w:pPr>
            <w:r w:rsidRPr="00F04491">
              <w:rPr>
                <w:b/>
                <w:bCs/>
              </w:rPr>
              <w:t>NAME OF DEVELOP</w:t>
            </w:r>
            <w:r w:rsidR="00F04491" w:rsidRPr="00F04491">
              <w:rPr>
                <w:b/>
                <w:bCs/>
              </w:rPr>
              <w:t>MENT PARTNER</w:t>
            </w:r>
          </w:p>
        </w:tc>
        <w:tc>
          <w:tcPr>
            <w:tcW w:w="7668" w:type="dxa"/>
          </w:tcPr>
          <w:p w14:paraId="64CA9ED5" w14:textId="578C30FA" w:rsidR="00CE4699" w:rsidRPr="00F04491" w:rsidRDefault="00F04491">
            <w:pPr>
              <w:rPr>
                <w:b/>
                <w:bCs/>
              </w:rPr>
            </w:pPr>
            <w:r w:rsidRPr="00F04491">
              <w:rPr>
                <w:b/>
                <w:bCs/>
              </w:rPr>
              <w:t>SUMMARY OF PROJECTS CARRIED OUT IN 2024</w:t>
            </w:r>
          </w:p>
        </w:tc>
        <w:tc>
          <w:tcPr>
            <w:tcW w:w="1923" w:type="dxa"/>
          </w:tcPr>
          <w:p w14:paraId="4C3C393B" w14:textId="73B8ED0D" w:rsidR="00CE4699" w:rsidRPr="00F04491" w:rsidRDefault="00F04491">
            <w:pPr>
              <w:rPr>
                <w:b/>
                <w:bCs/>
              </w:rPr>
            </w:pPr>
            <w:r w:rsidRPr="00F04491">
              <w:rPr>
                <w:b/>
                <w:bCs/>
              </w:rPr>
              <w:t>LOCATION OF PROJECTS (LGA &amp; COMMUNITIES</w:t>
            </w:r>
          </w:p>
        </w:tc>
        <w:tc>
          <w:tcPr>
            <w:tcW w:w="1559" w:type="dxa"/>
          </w:tcPr>
          <w:p w14:paraId="3D6C5CD5" w14:textId="59910A79" w:rsidR="00CE4699" w:rsidRPr="00F04491" w:rsidRDefault="00F04491">
            <w:pPr>
              <w:rPr>
                <w:b/>
                <w:bCs/>
              </w:rPr>
            </w:pPr>
            <w:r w:rsidRPr="00F04491">
              <w:rPr>
                <w:b/>
                <w:bCs/>
              </w:rPr>
              <w:t>MONETARY VALUE OF PROJECTS CARRIED OUT</w:t>
            </w:r>
          </w:p>
        </w:tc>
        <w:tc>
          <w:tcPr>
            <w:tcW w:w="1430" w:type="dxa"/>
          </w:tcPr>
          <w:p w14:paraId="01322D67" w14:textId="4E91F034" w:rsidR="00CE4699" w:rsidRPr="00F04491" w:rsidRDefault="00F04491">
            <w:pPr>
              <w:rPr>
                <w:b/>
                <w:bCs/>
              </w:rPr>
            </w:pPr>
            <w:r w:rsidRPr="00F04491">
              <w:rPr>
                <w:b/>
                <w:bCs/>
              </w:rPr>
              <w:t>REMARKS</w:t>
            </w:r>
          </w:p>
        </w:tc>
      </w:tr>
      <w:tr w:rsidR="00377DED" w14:paraId="0DE6BA4F" w14:textId="77777777" w:rsidTr="00987DA9">
        <w:trPr>
          <w:trHeight w:val="480"/>
        </w:trPr>
        <w:tc>
          <w:tcPr>
            <w:tcW w:w="628" w:type="dxa"/>
          </w:tcPr>
          <w:p w14:paraId="2D54716C" w14:textId="436490AD" w:rsidR="00CE4699" w:rsidRDefault="00AB283C">
            <w:r>
              <w:t>1</w:t>
            </w:r>
          </w:p>
        </w:tc>
        <w:tc>
          <w:tcPr>
            <w:tcW w:w="2043" w:type="dxa"/>
          </w:tcPr>
          <w:p w14:paraId="1B9002E5" w14:textId="26C90BD5" w:rsidR="00CE4699" w:rsidRDefault="00AB283C">
            <w:r>
              <w:t>International Rescue Committee</w:t>
            </w:r>
          </w:p>
        </w:tc>
        <w:tc>
          <w:tcPr>
            <w:tcW w:w="7668" w:type="dxa"/>
          </w:tcPr>
          <w:p w14:paraId="7ECBC9AE" w14:textId="29CBE2E7" w:rsidR="00CE4699" w:rsidRDefault="00377DED" w:rsidP="00377DED">
            <w:r w:rsidRPr="00377DED">
              <w:rPr>
                <w:b/>
                <w:bCs/>
              </w:rPr>
              <w:t>WFP:</w:t>
            </w:r>
            <w:r>
              <w:t xml:space="preserve"> </w:t>
            </w:r>
            <w:r w:rsidRPr="00377DED">
              <w:t>Protection And Accountability to Affected Populations in WFP Funded Operations in Selected LGAS In Yobe and Adamawa States, Nigeria</w:t>
            </w:r>
            <w:r w:rsidR="00AF41F7">
              <w:t xml:space="preserve">. </w:t>
            </w:r>
            <w:r w:rsidR="00AF41F7" w:rsidRPr="00AF41F7">
              <w:t>The International Rescue Committee, Inc. (IRC) implement</w:t>
            </w:r>
            <w:r w:rsidR="00AF41F7">
              <w:t>ed</w:t>
            </w:r>
            <w:r w:rsidR="00AF41F7" w:rsidRPr="00AF41F7">
              <w:t xml:space="preserve"> </w:t>
            </w:r>
            <w:r w:rsidR="00AF41F7">
              <w:t>a</w:t>
            </w:r>
            <w:r w:rsidR="00AF41F7" w:rsidRPr="00AF41F7">
              <w:t xml:space="preserve"> Strengthening Protection and Accountability to the Affected Population Mainstreaming in Yobe and Adamawa State, Nigeria project with the primary objective of addressing and preventing violations of humanitarian protection principles arising from assistance services and supporting IDPs and host communities receive responsive services. Six Local, Government Areas (LGAs) in which WFP and its implementing partners w</w:t>
            </w:r>
            <w:r w:rsidR="00AF41F7">
              <w:t>ere</w:t>
            </w:r>
            <w:r w:rsidR="00AF41F7" w:rsidRPr="00AF41F7">
              <w:t xml:space="preserve"> implementing activities, </w:t>
            </w:r>
            <w:r w:rsidR="00AF41F7">
              <w:t>were</w:t>
            </w:r>
            <w:r w:rsidR="00AF41F7" w:rsidRPr="00AF41F7">
              <w:t xml:space="preserve"> targeted. These</w:t>
            </w:r>
            <w:r w:rsidR="00AF41F7">
              <w:t xml:space="preserve"> </w:t>
            </w:r>
            <w:r w:rsidR="00AF41F7" w:rsidRPr="00AF41F7">
              <w:t>include</w:t>
            </w:r>
            <w:r w:rsidR="00AF41F7">
              <w:t>s</w:t>
            </w:r>
            <w:r w:rsidR="00AF41F7" w:rsidRPr="00AF41F7">
              <w:t xml:space="preserve"> </w:t>
            </w:r>
            <w:proofErr w:type="spellStart"/>
            <w:r w:rsidR="00AF41F7" w:rsidRPr="00AF41F7">
              <w:t>Yobe</w:t>
            </w:r>
            <w:proofErr w:type="spellEnd"/>
            <w:r w:rsidR="00AF41F7" w:rsidRPr="00AF41F7">
              <w:t xml:space="preserve"> State; </w:t>
            </w:r>
            <w:proofErr w:type="spellStart"/>
            <w:r w:rsidR="00AF41F7" w:rsidRPr="00AF41F7">
              <w:t>Gujba</w:t>
            </w:r>
            <w:proofErr w:type="spellEnd"/>
            <w:r w:rsidR="00AF41F7" w:rsidRPr="00AF41F7">
              <w:t xml:space="preserve">, </w:t>
            </w:r>
            <w:proofErr w:type="spellStart"/>
            <w:r w:rsidR="00AF41F7" w:rsidRPr="00AF41F7">
              <w:t>Gulani</w:t>
            </w:r>
            <w:proofErr w:type="spellEnd"/>
            <w:r w:rsidR="00AF41F7" w:rsidRPr="00AF41F7">
              <w:t xml:space="preserve">, </w:t>
            </w:r>
            <w:proofErr w:type="spellStart"/>
            <w:r w:rsidR="00AF41F7" w:rsidRPr="00AF41F7">
              <w:t>Damaturu</w:t>
            </w:r>
            <w:proofErr w:type="spellEnd"/>
            <w:r w:rsidR="00AF41F7" w:rsidRPr="00AF41F7">
              <w:t xml:space="preserve">, </w:t>
            </w:r>
            <w:proofErr w:type="spellStart"/>
            <w:r w:rsidR="00AF41F7" w:rsidRPr="00AF41F7">
              <w:t>Geidam</w:t>
            </w:r>
            <w:proofErr w:type="spellEnd"/>
            <w:r w:rsidR="00AF41F7" w:rsidRPr="00AF41F7">
              <w:t xml:space="preserve">, </w:t>
            </w:r>
            <w:proofErr w:type="spellStart"/>
            <w:r w:rsidR="00AF41F7" w:rsidRPr="00AF41F7">
              <w:t>Tarmuwa</w:t>
            </w:r>
            <w:proofErr w:type="spellEnd"/>
            <w:r w:rsidR="00AF41F7" w:rsidRPr="00AF41F7">
              <w:t xml:space="preserve"> LGAs Adamawa State; Michika and Madagali.</w:t>
            </w:r>
          </w:p>
        </w:tc>
        <w:tc>
          <w:tcPr>
            <w:tcW w:w="1923" w:type="dxa"/>
          </w:tcPr>
          <w:p w14:paraId="6B0504C8" w14:textId="7C2B8646" w:rsidR="00CE4699" w:rsidRDefault="00377DED">
            <w:r>
              <w:t>Michika Madagali</w:t>
            </w:r>
          </w:p>
        </w:tc>
        <w:tc>
          <w:tcPr>
            <w:tcW w:w="1559" w:type="dxa"/>
          </w:tcPr>
          <w:p w14:paraId="3A954E23" w14:textId="0529BCB6" w:rsidR="00CE4699" w:rsidRDefault="00377DED">
            <w:r w:rsidRPr="00377DED">
              <w:t>NGN 453,753,426</w:t>
            </w:r>
          </w:p>
        </w:tc>
        <w:tc>
          <w:tcPr>
            <w:tcW w:w="1430" w:type="dxa"/>
          </w:tcPr>
          <w:p w14:paraId="0CE37AB2" w14:textId="77777777" w:rsidR="00CE4699" w:rsidRDefault="00CE4699"/>
        </w:tc>
      </w:tr>
      <w:tr w:rsidR="00377DED" w14:paraId="7A8286F9" w14:textId="77777777" w:rsidTr="00987DA9">
        <w:trPr>
          <w:trHeight w:val="480"/>
        </w:trPr>
        <w:tc>
          <w:tcPr>
            <w:tcW w:w="628" w:type="dxa"/>
          </w:tcPr>
          <w:p w14:paraId="678632A7" w14:textId="2CB235E5" w:rsidR="00CE4699" w:rsidRDefault="00977E05">
            <w:r>
              <w:t>2</w:t>
            </w:r>
          </w:p>
        </w:tc>
        <w:tc>
          <w:tcPr>
            <w:tcW w:w="2043" w:type="dxa"/>
          </w:tcPr>
          <w:p w14:paraId="22521539" w14:textId="45E313DA" w:rsidR="00CE4699" w:rsidRDefault="00377DED">
            <w:r>
              <w:t>International Rescue Committee</w:t>
            </w:r>
          </w:p>
        </w:tc>
        <w:tc>
          <w:tcPr>
            <w:tcW w:w="7668" w:type="dxa"/>
          </w:tcPr>
          <w:p w14:paraId="4204FC68" w14:textId="56F38405" w:rsidR="00CE4699" w:rsidRDefault="00377DED">
            <w:r w:rsidRPr="00754042">
              <w:rPr>
                <w:b/>
                <w:bCs/>
              </w:rPr>
              <w:t>USAID</w:t>
            </w:r>
            <w:r>
              <w:t>: Opportunities to Learn (BAY)</w:t>
            </w:r>
            <w:r w:rsidR="00AF41F7">
              <w:t xml:space="preserve">. </w:t>
            </w:r>
            <w:r w:rsidR="00804D79" w:rsidRPr="00804D79">
              <w:t>USAID-funded Opportunities to Learn (OTL) project aims to address the immediate education need of out-of-school children (OOSC) and youth in up to 17 Local Government Areas (LGAs) of One-thousand four hundred and sixty-one (1,461) centers, in Borno, Adamawa, and Yobe states, through safer new and existing non-formal education, while laying the groundwork for sustainable improvement of education systems at the community and government levels. OTL aims to ensure out-of-school children and youth in Northeastern Nigeria are safely able to gain foundational skills, including literacy, numeracy, and social and emotional skills, to progress to higher levels of education, training, and/or engagement in the workforce. children (OOSC).</w:t>
            </w:r>
          </w:p>
        </w:tc>
        <w:tc>
          <w:tcPr>
            <w:tcW w:w="1923" w:type="dxa"/>
          </w:tcPr>
          <w:p w14:paraId="5453ED4F" w14:textId="41A71376" w:rsidR="00CE4699" w:rsidRDefault="00377DED">
            <w:r>
              <w:t>Yola North</w:t>
            </w:r>
            <w:r w:rsidR="00804D79">
              <w:br/>
            </w:r>
            <w:r>
              <w:t>Yola South</w:t>
            </w:r>
            <w:r w:rsidR="00804D79">
              <w:br/>
            </w:r>
            <w:r>
              <w:t>Gombi</w:t>
            </w:r>
            <w:r w:rsidR="00804D79">
              <w:br/>
            </w:r>
            <w:r>
              <w:t>Gire</w:t>
            </w:r>
            <w:r w:rsidR="007A608E">
              <w:t>i</w:t>
            </w:r>
          </w:p>
        </w:tc>
        <w:tc>
          <w:tcPr>
            <w:tcW w:w="1559" w:type="dxa"/>
          </w:tcPr>
          <w:p w14:paraId="32C3CD23" w14:textId="0D663AC1" w:rsidR="00CE4699" w:rsidRDefault="00377DED">
            <w:r>
              <w:t>$2</w:t>
            </w:r>
            <w:r w:rsidR="004501B3">
              <w:t>0</w:t>
            </w:r>
            <w:r w:rsidRPr="00377DED">
              <w:t>,</w:t>
            </w:r>
            <w:r w:rsidR="004501B3">
              <w:t>7</w:t>
            </w:r>
            <w:r w:rsidRPr="00377DED">
              <w:t>00,000</w:t>
            </w:r>
          </w:p>
        </w:tc>
        <w:tc>
          <w:tcPr>
            <w:tcW w:w="1430" w:type="dxa"/>
          </w:tcPr>
          <w:p w14:paraId="1CA17E99" w14:textId="77777777" w:rsidR="00CE4699" w:rsidRDefault="00CE4699"/>
        </w:tc>
      </w:tr>
      <w:tr w:rsidR="00377DED" w14:paraId="04F8EB32" w14:textId="77777777" w:rsidTr="00987DA9">
        <w:trPr>
          <w:trHeight w:val="497"/>
        </w:trPr>
        <w:tc>
          <w:tcPr>
            <w:tcW w:w="628" w:type="dxa"/>
          </w:tcPr>
          <w:p w14:paraId="7C810506" w14:textId="4BCA6630" w:rsidR="00CE4699" w:rsidRDefault="00977E05">
            <w:r>
              <w:t>3</w:t>
            </w:r>
          </w:p>
        </w:tc>
        <w:tc>
          <w:tcPr>
            <w:tcW w:w="2043" w:type="dxa"/>
          </w:tcPr>
          <w:p w14:paraId="7CAAC012" w14:textId="337D7E51" w:rsidR="00CE4699" w:rsidRDefault="00377DED">
            <w:r>
              <w:t>International Rescue Committee</w:t>
            </w:r>
          </w:p>
        </w:tc>
        <w:tc>
          <w:tcPr>
            <w:tcW w:w="7668" w:type="dxa"/>
          </w:tcPr>
          <w:p w14:paraId="3D976D59" w14:textId="408221CF" w:rsidR="00CE4699" w:rsidRDefault="00377DED">
            <w:r w:rsidRPr="00754042">
              <w:rPr>
                <w:b/>
                <w:bCs/>
              </w:rPr>
              <w:t>USAID/FCDO</w:t>
            </w:r>
            <w:r>
              <w:t xml:space="preserve">: </w:t>
            </w:r>
            <w:r w:rsidRPr="00377DED">
              <w:t>Health Resilience of Northeast Nigeria (HeRON)</w:t>
            </w:r>
            <w:r w:rsidR="00804D79">
              <w:t xml:space="preserve">. </w:t>
            </w:r>
            <w:r w:rsidR="00804D79" w:rsidRPr="00804D79">
              <w:t xml:space="preserve">The Health Resilience of Northeast Nigeria (HeRON) activity </w:t>
            </w:r>
            <w:r w:rsidR="00804D79">
              <w:t>was</w:t>
            </w:r>
            <w:r w:rsidR="00804D79" w:rsidRPr="00804D79">
              <w:t xml:space="preserve"> a two-year </w:t>
            </w:r>
            <w:r w:rsidR="006511C0" w:rsidRPr="00804D79">
              <w:t>intervention funded</w:t>
            </w:r>
            <w:r w:rsidR="00804D79" w:rsidRPr="00804D79">
              <w:t xml:space="preserve"> by USAID</w:t>
            </w:r>
            <w:r w:rsidR="00804D79">
              <w:t>.</w:t>
            </w:r>
            <w:r w:rsidR="00804D79" w:rsidRPr="00804D79">
              <w:t xml:space="preserve"> HeRON work</w:t>
            </w:r>
            <w:r w:rsidR="00804D79">
              <w:t>ed</w:t>
            </w:r>
            <w:r w:rsidR="00804D79" w:rsidRPr="00804D79">
              <w:t xml:space="preserve"> with the local government health authorities (LGHA) and state government </w:t>
            </w:r>
            <w:r w:rsidR="00804D79" w:rsidRPr="00804D79">
              <w:lastRenderedPageBreak/>
              <w:t>agencies to design and implement effective primary health care services, contributing toward a more resilient health system and universal health care coverage. These agencies include state primary health care development agencies -SPHCDA, state contributory health care schemes, hospital management boards, and state ministries of health-SMOH in Borno and Yobe. The overall purpose of the HeRON activity is to save lives and reduce suffering for the poorest and most vulnerable in North-East Nigeria through a stronger and more resilient health system. Furthermore, HeRON w</w:t>
            </w:r>
            <w:r w:rsidR="00804D79">
              <w:t>orked</w:t>
            </w:r>
            <w:r w:rsidR="00804D79" w:rsidRPr="00804D79">
              <w:t xml:space="preserve"> to offer a holistic response, adaptive and inclusive programming for women, men, boys, and girls, including people living with disabilities, achievable through three Results:</w:t>
            </w:r>
          </w:p>
        </w:tc>
        <w:tc>
          <w:tcPr>
            <w:tcW w:w="1923" w:type="dxa"/>
          </w:tcPr>
          <w:p w14:paraId="1E0A2A9F" w14:textId="77777777" w:rsidR="00CE4699" w:rsidRDefault="007B5973">
            <w:r>
              <w:lastRenderedPageBreak/>
              <w:t>Michika</w:t>
            </w:r>
          </w:p>
          <w:p w14:paraId="4F56444C" w14:textId="77777777" w:rsidR="007B5973" w:rsidRDefault="007B5973">
            <w:r>
              <w:t>Madagali</w:t>
            </w:r>
          </w:p>
          <w:p w14:paraId="6B3FD2CE" w14:textId="77777777" w:rsidR="007B5973" w:rsidRDefault="007B5973">
            <w:r>
              <w:t>Maiha</w:t>
            </w:r>
          </w:p>
          <w:p w14:paraId="38AF7378" w14:textId="77777777" w:rsidR="007B5973" w:rsidRDefault="007B5973">
            <w:r>
              <w:t>Mubi-North</w:t>
            </w:r>
          </w:p>
          <w:p w14:paraId="447BC0F5" w14:textId="77777777" w:rsidR="007B5973" w:rsidRDefault="007B5973">
            <w:proofErr w:type="spellStart"/>
            <w:r>
              <w:lastRenderedPageBreak/>
              <w:t>Fufore</w:t>
            </w:r>
            <w:proofErr w:type="spellEnd"/>
          </w:p>
          <w:p w14:paraId="17C272E6" w14:textId="77777777" w:rsidR="007A608E" w:rsidRDefault="007A608E">
            <w:r>
              <w:t>Ganye</w:t>
            </w:r>
          </w:p>
          <w:p w14:paraId="574DB222" w14:textId="77777777" w:rsidR="007A608E" w:rsidRDefault="007A608E">
            <w:r>
              <w:t>Girei</w:t>
            </w:r>
          </w:p>
          <w:p w14:paraId="073E5459" w14:textId="77777777" w:rsidR="007A608E" w:rsidRDefault="007A608E">
            <w:r>
              <w:t>Gombi</w:t>
            </w:r>
          </w:p>
          <w:p w14:paraId="336C69F7" w14:textId="77777777" w:rsidR="007A608E" w:rsidRDefault="007A608E">
            <w:proofErr w:type="spellStart"/>
            <w:r>
              <w:t>Guyuk</w:t>
            </w:r>
            <w:proofErr w:type="spellEnd"/>
          </w:p>
          <w:p w14:paraId="014BF781" w14:textId="77777777" w:rsidR="007A608E" w:rsidRDefault="007A608E">
            <w:r>
              <w:t>Hong</w:t>
            </w:r>
          </w:p>
          <w:p w14:paraId="52B692DF" w14:textId="77777777" w:rsidR="007A608E" w:rsidRDefault="007A608E">
            <w:r>
              <w:t>Mubi south</w:t>
            </w:r>
          </w:p>
          <w:p w14:paraId="73D8ADED" w14:textId="77777777" w:rsidR="007A608E" w:rsidRDefault="007A608E">
            <w:r>
              <w:t>Song</w:t>
            </w:r>
          </w:p>
          <w:p w14:paraId="714DF085" w14:textId="77777777" w:rsidR="007A608E" w:rsidRDefault="007A608E">
            <w:r>
              <w:t>Toungo</w:t>
            </w:r>
          </w:p>
          <w:p w14:paraId="754ABE14" w14:textId="644F10C1" w:rsidR="007A608E" w:rsidRDefault="007A608E">
            <w:r>
              <w:t>Yola south</w:t>
            </w:r>
          </w:p>
        </w:tc>
        <w:tc>
          <w:tcPr>
            <w:tcW w:w="1559" w:type="dxa"/>
          </w:tcPr>
          <w:p w14:paraId="4F6B01CC" w14:textId="13426814" w:rsidR="00CE4699" w:rsidRDefault="00754042">
            <w:r>
              <w:lastRenderedPageBreak/>
              <w:t>$</w:t>
            </w:r>
            <w:r w:rsidR="00AF41F7">
              <w:t>4,000,000</w:t>
            </w:r>
          </w:p>
        </w:tc>
        <w:tc>
          <w:tcPr>
            <w:tcW w:w="1430" w:type="dxa"/>
          </w:tcPr>
          <w:p w14:paraId="5730C4C0" w14:textId="77777777" w:rsidR="00CE4699" w:rsidRDefault="00CE4699"/>
        </w:tc>
      </w:tr>
      <w:tr w:rsidR="00377DED" w14:paraId="65BB38D9" w14:textId="77777777" w:rsidTr="00987DA9">
        <w:trPr>
          <w:trHeight w:val="480"/>
        </w:trPr>
        <w:tc>
          <w:tcPr>
            <w:tcW w:w="628" w:type="dxa"/>
          </w:tcPr>
          <w:p w14:paraId="5C6390CA" w14:textId="2EBF0AAB" w:rsidR="00CE4699" w:rsidRDefault="00977E05">
            <w:r>
              <w:lastRenderedPageBreak/>
              <w:t>4</w:t>
            </w:r>
          </w:p>
        </w:tc>
        <w:tc>
          <w:tcPr>
            <w:tcW w:w="2043" w:type="dxa"/>
          </w:tcPr>
          <w:p w14:paraId="72B674FD" w14:textId="7063C762" w:rsidR="00CE4699" w:rsidRDefault="00377DED">
            <w:r>
              <w:t>International Rescue Committee</w:t>
            </w:r>
          </w:p>
        </w:tc>
        <w:tc>
          <w:tcPr>
            <w:tcW w:w="7668" w:type="dxa"/>
          </w:tcPr>
          <w:p w14:paraId="5CB3056B" w14:textId="0CBE6459" w:rsidR="00CE4699" w:rsidRPr="00754042" w:rsidRDefault="00754042">
            <w:pPr>
              <w:rPr>
                <w:b/>
                <w:bCs/>
              </w:rPr>
            </w:pPr>
            <w:r w:rsidRPr="00754042">
              <w:rPr>
                <w:b/>
                <w:bCs/>
              </w:rPr>
              <w:t xml:space="preserve">ECHO ERC: </w:t>
            </w:r>
            <w:r w:rsidRPr="00754042">
              <w:t>Community-Based Anticipatory Action for Climate Change in Urban Areas</w:t>
            </w:r>
            <w:r w:rsidR="006511C0">
              <w:t xml:space="preserve">. </w:t>
            </w:r>
            <w:r w:rsidR="006511C0" w:rsidRPr="006511C0">
              <w:t>Through this Action, the IRC design</w:t>
            </w:r>
            <w:r w:rsidR="006511C0">
              <w:t>ed</w:t>
            </w:r>
            <w:r w:rsidR="006511C0" w:rsidRPr="006511C0">
              <w:t xml:space="preserve"> and tested an operational model for urban anticipatory action to address climactic risks, in particular urban flooding in Yola. The model w</w:t>
            </w:r>
            <w:r w:rsidR="006511C0">
              <w:t>as</w:t>
            </w:r>
            <w:r w:rsidR="006511C0" w:rsidRPr="006511C0">
              <w:t xml:space="preserve"> adapted for urban areas in fragile and conflict affected areas and employ a community-led, inclusive, and asset-based approach that aims to leverage the communities’ existing assets towards anticipatory action, bottom-up anticipatory action planning, and directly connecting communities to financing mechanisms. The Action include</w:t>
            </w:r>
            <w:r w:rsidR="006511C0">
              <w:t>d</w:t>
            </w:r>
            <w:r w:rsidR="006511C0" w:rsidRPr="006511C0">
              <w:t xml:space="preserve"> a rigorous learning and research component to ensure that impact from the testing. pilot is well defined and measured</w:t>
            </w:r>
            <w:r w:rsidR="006511C0">
              <w:t>.</w:t>
            </w:r>
          </w:p>
        </w:tc>
        <w:tc>
          <w:tcPr>
            <w:tcW w:w="1923" w:type="dxa"/>
          </w:tcPr>
          <w:p w14:paraId="5AE3CF48" w14:textId="01582111" w:rsidR="00CE4699" w:rsidRDefault="00754042">
            <w:r>
              <w:t>Yola North</w:t>
            </w:r>
            <w:r>
              <w:br/>
              <w:t>Yola South</w:t>
            </w:r>
          </w:p>
        </w:tc>
        <w:tc>
          <w:tcPr>
            <w:tcW w:w="1559" w:type="dxa"/>
          </w:tcPr>
          <w:p w14:paraId="7093EF32" w14:textId="418F8D5D" w:rsidR="00CE4699" w:rsidRDefault="00754042">
            <w:r w:rsidRPr="00754042">
              <w:t>EUR 762,574.85</w:t>
            </w:r>
          </w:p>
        </w:tc>
        <w:tc>
          <w:tcPr>
            <w:tcW w:w="1430" w:type="dxa"/>
          </w:tcPr>
          <w:p w14:paraId="764C3C89" w14:textId="77777777" w:rsidR="00CE4699" w:rsidRDefault="00CE4699"/>
        </w:tc>
      </w:tr>
      <w:tr w:rsidR="001A0DD9" w14:paraId="66537500" w14:textId="77777777" w:rsidTr="00987DA9">
        <w:trPr>
          <w:trHeight w:val="480"/>
        </w:trPr>
        <w:tc>
          <w:tcPr>
            <w:tcW w:w="628" w:type="dxa"/>
          </w:tcPr>
          <w:p w14:paraId="6FD8167D" w14:textId="720903AE" w:rsidR="00F04491" w:rsidRDefault="00977E05">
            <w:r>
              <w:t>5</w:t>
            </w:r>
          </w:p>
        </w:tc>
        <w:tc>
          <w:tcPr>
            <w:tcW w:w="2043" w:type="dxa"/>
          </w:tcPr>
          <w:p w14:paraId="4FE3AC93" w14:textId="4A7CCA2A" w:rsidR="00F04491" w:rsidRDefault="00754042">
            <w:r>
              <w:t>International Rescue Committee</w:t>
            </w:r>
          </w:p>
        </w:tc>
        <w:tc>
          <w:tcPr>
            <w:tcW w:w="7668" w:type="dxa"/>
          </w:tcPr>
          <w:p w14:paraId="6C606448" w14:textId="27FF2CCE" w:rsidR="00F04491" w:rsidRDefault="00754042">
            <w:r w:rsidRPr="00F4557D">
              <w:rPr>
                <w:b/>
                <w:bCs/>
              </w:rPr>
              <w:t>NRC/BHA</w:t>
            </w:r>
            <w:r>
              <w:t xml:space="preserve">: </w:t>
            </w:r>
            <w:r w:rsidRPr="00754042">
              <w:t>Emergency to Reliance in Adamawa State (E2R)</w:t>
            </w:r>
            <w:r w:rsidR="00F4557D">
              <w:t xml:space="preserve">. </w:t>
            </w:r>
            <w:r w:rsidR="00697F63" w:rsidRPr="00697F63">
              <w:t xml:space="preserve">BHA Northeast Nigeria Response - Adamawa State. NRC is lead, with IRC as an implementing partner.  This state-based consortium approach was proposed by donor. This multi-sectoral project </w:t>
            </w:r>
            <w:r w:rsidR="00697F63">
              <w:t>is</w:t>
            </w:r>
            <w:r w:rsidR="00697F63" w:rsidRPr="00697F63">
              <w:t xml:space="preserve"> be</w:t>
            </w:r>
            <w:r w:rsidR="00697F63">
              <w:t>ing</w:t>
            </w:r>
            <w:r w:rsidR="00697F63" w:rsidRPr="00697F63">
              <w:t xml:space="preserve"> implemented over 24 months in Adamawa state, with the purpose of ensuring that conflict affected people in the state are protected from and treated for the main causes of morbidity and mortality and the consequences of GBV as well as supported to mitigate and respond to protection concerns. The consortium consists of NRC, DRC, IRC, JDCP and BBC Media Action which are delivering a multi-sectoral, area-based response, providing integrated services across the following sectors: WASH, Shelter and Settlements, Nutrition, Health, Economic Recovery and Market Systems (ERMS) and Protection. Each organization based on the areas of expertise and the established presence in Adamawa state and taking a lead in a specific sectorial focus where NRC is leading on WASH, Shelter, Protection (focused on legal aid), DRC on Economic Recovery and Market Systems, IRC on Health, Nutrition and Specialized Protection Services (GBV and Child Protection), JDCP and BBC Media Action on Protection (Social Cohesion). Additionally, general protection cuts across the partners which ensures referrals and safe inclusive programming are incorporated in the project design and delivery. NRC, DRC, IRC, JDCP and BBC Media Action are established in Adamawa and have presence across the state where each agency leverages on the existing community acceptance, access, knowledge of the context and investments done on ground.</w:t>
            </w:r>
          </w:p>
        </w:tc>
        <w:tc>
          <w:tcPr>
            <w:tcW w:w="1923" w:type="dxa"/>
          </w:tcPr>
          <w:p w14:paraId="48F4190A" w14:textId="4F8EA85E" w:rsidR="00F04491" w:rsidRDefault="00754042">
            <w:r>
              <w:t>Yola South</w:t>
            </w:r>
            <w:r>
              <w:br/>
              <w:t>Numan</w:t>
            </w:r>
            <w:r>
              <w:br/>
              <w:t xml:space="preserve">Michika </w:t>
            </w:r>
            <w:r>
              <w:br/>
              <w:t>Madagali</w:t>
            </w:r>
          </w:p>
        </w:tc>
        <w:tc>
          <w:tcPr>
            <w:tcW w:w="1559" w:type="dxa"/>
          </w:tcPr>
          <w:p w14:paraId="57716A46" w14:textId="4B971A8C" w:rsidR="00F04491" w:rsidRDefault="00754042">
            <w:r w:rsidRPr="00754042">
              <w:t xml:space="preserve">$ </w:t>
            </w:r>
            <w:r>
              <w:t>5</w:t>
            </w:r>
            <w:r w:rsidRPr="00754042">
              <w:t>,</w:t>
            </w:r>
            <w:r>
              <w:t>8</w:t>
            </w:r>
            <w:r w:rsidRPr="00754042">
              <w:t>07,500</w:t>
            </w:r>
          </w:p>
        </w:tc>
        <w:tc>
          <w:tcPr>
            <w:tcW w:w="1430" w:type="dxa"/>
          </w:tcPr>
          <w:p w14:paraId="3506F0DF" w14:textId="77777777" w:rsidR="00F04491" w:rsidRDefault="00F04491"/>
        </w:tc>
      </w:tr>
      <w:tr w:rsidR="001A0DD9" w14:paraId="3E708C51" w14:textId="77777777" w:rsidTr="00987DA9">
        <w:trPr>
          <w:trHeight w:val="480"/>
        </w:trPr>
        <w:tc>
          <w:tcPr>
            <w:tcW w:w="628" w:type="dxa"/>
          </w:tcPr>
          <w:p w14:paraId="6537E6E7" w14:textId="5EDF27F0" w:rsidR="00F04491" w:rsidRDefault="00977E05">
            <w:r>
              <w:t>6</w:t>
            </w:r>
          </w:p>
        </w:tc>
        <w:tc>
          <w:tcPr>
            <w:tcW w:w="2043" w:type="dxa"/>
          </w:tcPr>
          <w:p w14:paraId="2CA22215" w14:textId="5E2F2FB6" w:rsidR="00F04491" w:rsidRDefault="00754042">
            <w:r>
              <w:t>International Rescue Committee</w:t>
            </w:r>
          </w:p>
        </w:tc>
        <w:tc>
          <w:tcPr>
            <w:tcW w:w="7668" w:type="dxa"/>
          </w:tcPr>
          <w:p w14:paraId="42AD127B" w14:textId="3A9A9B0E" w:rsidR="003212E2" w:rsidRDefault="00754042" w:rsidP="003212E2">
            <w:r w:rsidRPr="00754042">
              <w:rPr>
                <w:b/>
                <w:bCs/>
              </w:rPr>
              <w:t>CITI Foundation:</w:t>
            </w:r>
            <w:r>
              <w:t xml:space="preserve"> </w:t>
            </w:r>
            <w:r w:rsidRPr="00754042">
              <w:t>Resilient Futures IV</w:t>
            </w:r>
            <w:r w:rsidR="003212E2">
              <w:t xml:space="preserve">. </w:t>
            </w:r>
          </w:p>
          <w:p w14:paraId="04AADF44" w14:textId="7445F3CD" w:rsidR="003212E2" w:rsidRDefault="003212E2" w:rsidP="003212E2">
            <w:r>
              <w:t>To respond to the severe needs and improve the living standard of the low-income communities in northeastern Nigeria, the IRC proposes to support at least 2,000 households in five communities on the borderline of food insecurity in the following priorities:</w:t>
            </w:r>
          </w:p>
          <w:p w14:paraId="2A43DA5E" w14:textId="77777777" w:rsidR="003212E2" w:rsidRDefault="003212E2" w:rsidP="003212E2">
            <w:r>
              <w:t>FOOD AVAILABILITY:</w:t>
            </w:r>
          </w:p>
          <w:p w14:paraId="081D1780" w14:textId="77777777" w:rsidR="003212E2" w:rsidRDefault="003212E2" w:rsidP="003212E2">
            <w:r>
              <w:t>-</w:t>
            </w:r>
            <w:r>
              <w:tab/>
              <w:t>Provide dry season farming capacity and technology such as irrigation support and smart inputs to women and young farmers to improve food production and increase income levels.</w:t>
            </w:r>
          </w:p>
          <w:p w14:paraId="5F1B4AB0" w14:textId="77777777" w:rsidR="003212E2" w:rsidRDefault="003212E2" w:rsidP="003212E2">
            <w:r>
              <w:t>-</w:t>
            </w:r>
            <w:r>
              <w:tab/>
              <w:t>Provide training to farmers on the hematic storage technology system e.g. the Purdue for Improved crop storage bags (PICS) and other improved post-harvest and storage technologies to reduce farm losses and avail food for lean seasons</w:t>
            </w:r>
          </w:p>
          <w:p w14:paraId="350D1CD4" w14:textId="77777777" w:rsidR="003212E2" w:rsidRDefault="003212E2" w:rsidP="003212E2">
            <w:r>
              <w:t>-</w:t>
            </w:r>
            <w:r>
              <w:tab/>
              <w:t>Train youth and provide hydroponic technology equipment to increase fodder production capacity to support livestock production.</w:t>
            </w:r>
          </w:p>
          <w:p w14:paraId="5317B127" w14:textId="77777777" w:rsidR="003212E2" w:rsidRDefault="003212E2" w:rsidP="003212E2">
            <w:r>
              <w:t>-</w:t>
            </w:r>
            <w:r>
              <w:tab/>
              <w:t>Implement kitchen gardening support to enable households have access to a nutritious vegetable intake as well as avail a four-star diet for infants, pregnant and lactating women as part of SGD2 towards ending hunger and achieve food security, improved nutrition and promote sustainable agriculture.</w:t>
            </w:r>
          </w:p>
          <w:p w14:paraId="4EF41197" w14:textId="77777777" w:rsidR="003212E2" w:rsidRDefault="003212E2" w:rsidP="003212E2">
            <w:r>
              <w:t xml:space="preserve">FOOD ACCESSIBILITY </w:t>
            </w:r>
          </w:p>
          <w:p w14:paraId="0453A154" w14:textId="77777777" w:rsidR="003212E2" w:rsidRDefault="003212E2" w:rsidP="003212E2">
            <w:r>
              <w:t>-</w:t>
            </w:r>
            <w:r>
              <w:tab/>
              <w:t>Provide linkages to agro-input dealers at community level and establish village level agro-dealership to create marketing outlets in low-income communities where rural farmers have access to production farm inputs at affordable prices.</w:t>
            </w:r>
          </w:p>
          <w:p w14:paraId="1760D455" w14:textId="77777777" w:rsidR="003212E2" w:rsidRDefault="003212E2" w:rsidP="003212E2">
            <w:r>
              <w:t>-</w:t>
            </w:r>
            <w:r>
              <w:tab/>
              <w:t>Facilitate training of agro-input dealers to provide quality services and inputs to farming local communities.</w:t>
            </w:r>
          </w:p>
          <w:p w14:paraId="78BE78EC" w14:textId="77777777" w:rsidR="003212E2" w:rsidRDefault="003212E2" w:rsidP="003212E2">
            <w:r>
              <w:t>-</w:t>
            </w:r>
            <w:r>
              <w:tab/>
              <w:t xml:space="preserve">Establish community seed banks to avail inputs locally through a pass on scheme </w:t>
            </w:r>
          </w:p>
          <w:p w14:paraId="3E31F0D8" w14:textId="77777777" w:rsidR="003212E2" w:rsidRDefault="003212E2" w:rsidP="003212E2">
            <w:r>
              <w:t>-</w:t>
            </w:r>
            <w:r>
              <w:tab/>
              <w:t>To improve access to protein diets, provide livestock assets and agropastoral training to rural farmers on best agricultural practices and animal production to increase production and consumption of protein.</w:t>
            </w:r>
          </w:p>
          <w:p w14:paraId="1CF152BB" w14:textId="77777777" w:rsidR="003212E2" w:rsidRDefault="003212E2" w:rsidP="003212E2">
            <w:r>
              <w:t xml:space="preserve">FOOD AFFORDABILITY: </w:t>
            </w:r>
          </w:p>
          <w:p w14:paraId="70FF959D" w14:textId="77777777" w:rsidR="003212E2" w:rsidRDefault="003212E2" w:rsidP="003212E2">
            <w:r>
              <w:t>-</w:t>
            </w:r>
            <w:r>
              <w:tab/>
              <w:t>Provide Cash Voucher Assistance (CVA) for food and basic needs to identified vulnerable households to smoothen consumption and nutrition status in the short to medium term whilst crop production is taking shape.</w:t>
            </w:r>
          </w:p>
          <w:p w14:paraId="181BA565" w14:textId="77777777" w:rsidR="003212E2" w:rsidRDefault="003212E2" w:rsidP="003212E2">
            <w:r>
              <w:t>-</w:t>
            </w:r>
            <w:r>
              <w:tab/>
              <w:t>To strengthen households' financial management capabilities and enable them to manage their resources appropriately, financial management training will be provided.</w:t>
            </w:r>
          </w:p>
          <w:p w14:paraId="77A4C2D1" w14:textId="77777777" w:rsidR="003212E2" w:rsidRDefault="003212E2" w:rsidP="003212E2">
            <w:r>
              <w:t>-</w:t>
            </w:r>
            <w:r>
              <w:tab/>
              <w:t xml:space="preserve">Provide commercial farming support through local agro-dealers and communal seedbanks </w:t>
            </w:r>
          </w:p>
          <w:p w14:paraId="06D2D5CC" w14:textId="77777777" w:rsidR="003212E2" w:rsidRDefault="003212E2" w:rsidP="003212E2">
            <w:r>
              <w:t>-</w:t>
            </w:r>
            <w:r>
              <w:tab/>
              <w:t>Develop community-based market price information system through farmer representatives to enable rural communities have access to regional food market prices.</w:t>
            </w:r>
          </w:p>
          <w:p w14:paraId="6160AEFA" w14:textId="77777777" w:rsidR="003212E2" w:rsidRDefault="003212E2" w:rsidP="003212E2">
            <w:r>
              <w:t>COMMUNITY RESILIENCE:</w:t>
            </w:r>
          </w:p>
          <w:p w14:paraId="55258BAE" w14:textId="77777777" w:rsidR="003212E2" w:rsidRDefault="003212E2" w:rsidP="003212E2">
            <w:r>
              <w:t>-</w:t>
            </w:r>
            <w:r>
              <w:tab/>
              <w:t>Develop community-based early warning information system to mitigate the impact of climate shocks (particularly flooding) on agro-pastoralist communities through anticipatory action and Forecast Based Financing (</w:t>
            </w:r>
            <w:proofErr w:type="spellStart"/>
            <w:r>
              <w:t>FbF</w:t>
            </w:r>
            <w:proofErr w:type="spellEnd"/>
            <w:r>
              <w:t>),</w:t>
            </w:r>
          </w:p>
          <w:p w14:paraId="1C6C6A67" w14:textId="77777777" w:rsidR="003212E2" w:rsidRDefault="003212E2" w:rsidP="003212E2">
            <w:r>
              <w:t>-</w:t>
            </w:r>
            <w:r>
              <w:tab/>
              <w:t xml:space="preserve">Collaborate with hydrometeorological agencies on data sharing to establish a climate-risk trigger monitoring system to enable farming communities take early actions to minimize and avoid climate-related risks. </w:t>
            </w:r>
          </w:p>
          <w:p w14:paraId="063AC33E" w14:textId="77777777" w:rsidR="003212E2" w:rsidRDefault="003212E2" w:rsidP="003212E2">
            <w:r>
              <w:t>-</w:t>
            </w:r>
            <w:r>
              <w:tab/>
              <w:t xml:space="preserve">Develop community grain banks to store food production surplus. </w:t>
            </w:r>
          </w:p>
          <w:p w14:paraId="1760E27D" w14:textId="77777777" w:rsidR="003212E2" w:rsidRDefault="003212E2" w:rsidP="003212E2">
            <w:r>
              <w:t>-</w:t>
            </w:r>
            <w:r>
              <w:tab/>
              <w:t>Establish and / strengthen community based Early Warning and DRR committees for improve information dissemination and early action</w:t>
            </w:r>
          </w:p>
          <w:p w14:paraId="7ADD9B64" w14:textId="77777777" w:rsidR="003212E2" w:rsidRDefault="003212E2" w:rsidP="003212E2">
            <w:r>
              <w:t>-</w:t>
            </w:r>
            <w:r>
              <w:tab/>
              <w:t>Production of shock and stress occurrence matrixes to guide the response mechanisms for the target communities</w:t>
            </w:r>
          </w:p>
          <w:p w14:paraId="39BBB0E0" w14:textId="229F3E32" w:rsidR="003212E2" w:rsidRDefault="003212E2" w:rsidP="003212E2">
            <w:r>
              <w:t>The combination of these strategies is envisaged to improve the economic well-being and food security status of the vulnerable individual households and communities facing various crises in the affected regions. Documentation of the processes will be used to inform best practice for upscaling to other communities.</w:t>
            </w:r>
          </w:p>
          <w:p w14:paraId="63024443" w14:textId="0B73E285" w:rsidR="00F04491" w:rsidRDefault="00F04491" w:rsidP="003212E2"/>
        </w:tc>
        <w:tc>
          <w:tcPr>
            <w:tcW w:w="1923" w:type="dxa"/>
          </w:tcPr>
          <w:p w14:paraId="1484F04D" w14:textId="77777777" w:rsidR="00F04491" w:rsidRDefault="00C40FEB">
            <w:r>
              <w:t>Yola North</w:t>
            </w:r>
          </w:p>
          <w:p w14:paraId="6901A6DD" w14:textId="50BFCECC" w:rsidR="00C40FEB" w:rsidRDefault="00C40FEB">
            <w:r>
              <w:t>Yola South</w:t>
            </w:r>
          </w:p>
        </w:tc>
        <w:tc>
          <w:tcPr>
            <w:tcW w:w="1559" w:type="dxa"/>
          </w:tcPr>
          <w:p w14:paraId="7F6B5508" w14:textId="11685DC6" w:rsidR="00F04491" w:rsidRDefault="00754042">
            <w:r>
              <w:t>$2</w:t>
            </w:r>
            <w:r w:rsidRPr="00754042">
              <w:t>80,750.00</w:t>
            </w:r>
          </w:p>
        </w:tc>
        <w:tc>
          <w:tcPr>
            <w:tcW w:w="1430" w:type="dxa"/>
          </w:tcPr>
          <w:p w14:paraId="53AA118F" w14:textId="77777777" w:rsidR="00F04491" w:rsidRDefault="00F04491"/>
        </w:tc>
      </w:tr>
      <w:tr w:rsidR="001A0DD9" w14:paraId="07B410BF" w14:textId="77777777" w:rsidTr="00987DA9">
        <w:trPr>
          <w:trHeight w:val="480"/>
        </w:trPr>
        <w:tc>
          <w:tcPr>
            <w:tcW w:w="628" w:type="dxa"/>
          </w:tcPr>
          <w:p w14:paraId="3FC8CE27" w14:textId="320C1A99" w:rsidR="00F04491" w:rsidRDefault="00977E05">
            <w:r>
              <w:t>7</w:t>
            </w:r>
          </w:p>
        </w:tc>
        <w:tc>
          <w:tcPr>
            <w:tcW w:w="2043" w:type="dxa"/>
          </w:tcPr>
          <w:p w14:paraId="15998C81" w14:textId="3C5B47BC" w:rsidR="00F04491" w:rsidRDefault="00754042">
            <w:r>
              <w:t>International Rescue Committee</w:t>
            </w:r>
          </w:p>
        </w:tc>
        <w:tc>
          <w:tcPr>
            <w:tcW w:w="7668" w:type="dxa"/>
          </w:tcPr>
          <w:p w14:paraId="3EAFFEA4" w14:textId="482FD85E" w:rsidR="00F04491" w:rsidRDefault="00754042">
            <w:r w:rsidRPr="00754042">
              <w:rPr>
                <w:b/>
                <w:bCs/>
              </w:rPr>
              <w:t>Google Inc:</w:t>
            </w:r>
            <w:r>
              <w:t xml:space="preserve"> </w:t>
            </w:r>
            <w:r w:rsidRPr="00754042">
              <w:t>Improving the Effectiveness and Efficiency of Anticipatory Cash Programs</w:t>
            </w:r>
            <w:r w:rsidR="003212E2">
              <w:t xml:space="preserve">. </w:t>
            </w:r>
            <w:r w:rsidR="003212E2" w:rsidRPr="003212E2">
              <w:t>Develop hybrid of indigenous and tech-driven early warning systems to deliver early warning messaging to smallholder agro-pastoralist households.</w:t>
            </w:r>
            <w:r w:rsidR="003212E2">
              <w:t xml:space="preserve"> </w:t>
            </w:r>
            <w:r w:rsidR="003212E2" w:rsidRPr="003212E2">
              <w:t>Deliver early warning systems agro-pastoralist households in flood prone areas</w:t>
            </w:r>
            <w:r w:rsidR="003212E2">
              <w:t xml:space="preserve">. </w:t>
            </w:r>
            <w:r w:rsidR="003212E2" w:rsidRPr="003212E2">
              <w:t>Work with relevant local stakeholders and hydro meteorological agencies to develop improved flood forecasting and trigger systems leveraging artificial intelligence.</w:t>
            </w:r>
            <w:r w:rsidR="003212E2">
              <w:t xml:space="preserve"> </w:t>
            </w:r>
            <w:r w:rsidR="00E8765F" w:rsidRPr="00E8765F">
              <w:t>Provide anticipatory action cash assistance to 3,000 households in advance of flood disaster</w:t>
            </w:r>
            <w:r w:rsidR="00E8765F">
              <w:t xml:space="preserve">. </w:t>
            </w:r>
            <w:r w:rsidR="00E8765F" w:rsidRPr="00E8765F">
              <w:t>Linkage of supported clients with social protection stakeholders/services including Emergency services and the Government.</w:t>
            </w:r>
          </w:p>
        </w:tc>
        <w:tc>
          <w:tcPr>
            <w:tcW w:w="1923" w:type="dxa"/>
          </w:tcPr>
          <w:p w14:paraId="5F525C65" w14:textId="77777777" w:rsidR="00F04491" w:rsidRDefault="00C40FEB">
            <w:r>
              <w:t>Demsa</w:t>
            </w:r>
            <w:r>
              <w:br/>
              <w:t>Numan</w:t>
            </w:r>
          </w:p>
          <w:p w14:paraId="00C8A1E3" w14:textId="49549853" w:rsidR="00C40FEB" w:rsidRDefault="00C40FEB">
            <w:proofErr w:type="spellStart"/>
            <w:r>
              <w:t>Fufore</w:t>
            </w:r>
            <w:proofErr w:type="spellEnd"/>
          </w:p>
        </w:tc>
        <w:tc>
          <w:tcPr>
            <w:tcW w:w="1559" w:type="dxa"/>
          </w:tcPr>
          <w:p w14:paraId="2BF73FCF" w14:textId="721F757B" w:rsidR="00F04491" w:rsidRDefault="00754042">
            <w:r w:rsidRPr="00754042">
              <w:t>$2,500,000</w:t>
            </w:r>
          </w:p>
        </w:tc>
        <w:tc>
          <w:tcPr>
            <w:tcW w:w="1430" w:type="dxa"/>
          </w:tcPr>
          <w:p w14:paraId="4757A079" w14:textId="77777777" w:rsidR="00F04491" w:rsidRDefault="00F04491"/>
        </w:tc>
      </w:tr>
      <w:tr w:rsidR="001A0DD9" w14:paraId="4980FEAE" w14:textId="77777777" w:rsidTr="00987DA9">
        <w:trPr>
          <w:trHeight w:val="480"/>
        </w:trPr>
        <w:tc>
          <w:tcPr>
            <w:tcW w:w="628" w:type="dxa"/>
          </w:tcPr>
          <w:p w14:paraId="0F6E3AF4" w14:textId="15653574" w:rsidR="00F04491" w:rsidRDefault="00977E05">
            <w:r>
              <w:t>8</w:t>
            </w:r>
          </w:p>
        </w:tc>
        <w:tc>
          <w:tcPr>
            <w:tcW w:w="2043" w:type="dxa"/>
          </w:tcPr>
          <w:p w14:paraId="12D86D6C" w14:textId="4E57FFC0" w:rsidR="00F04491" w:rsidRDefault="00012601">
            <w:r>
              <w:t>International Rescue Committee</w:t>
            </w:r>
          </w:p>
        </w:tc>
        <w:tc>
          <w:tcPr>
            <w:tcW w:w="7668" w:type="dxa"/>
          </w:tcPr>
          <w:p w14:paraId="13EA865A" w14:textId="6133127C" w:rsidR="00F04491" w:rsidRDefault="00012601" w:rsidP="00E8765F">
            <w:r w:rsidRPr="00012601">
              <w:rPr>
                <w:b/>
                <w:bCs/>
              </w:rPr>
              <w:t>NYT:</w:t>
            </w:r>
            <w:r>
              <w:t xml:space="preserve"> </w:t>
            </w:r>
            <w:r w:rsidRPr="00012601">
              <w:t>Enhancing Community Health and Well-being Through Access to Safe WASH Services</w:t>
            </w:r>
            <w:r w:rsidR="00E8765F">
              <w:t>. Rehabilitation and construction of water sources, ensuring access to safe water for 12,000 individuals (2,000 households) within 500m radius. Construction or rehabilitation of gender-sensitive sanitation facilities in health facilities, providing access to safe sanitation facilities to 200 individuals accessing health care services contributing to reduction in open defecation rates. Hygiene promotion campaigns/awareness leading to an improvement in hygiene practices and overall hygiene awareness of 12,000 individuals</w:t>
            </w:r>
          </w:p>
        </w:tc>
        <w:tc>
          <w:tcPr>
            <w:tcW w:w="1923" w:type="dxa"/>
          </w:tcPr>
          <w:p w14:paraId="2730F46D" w14:textId="00AA6241" w:rsidR="00F04491" w:rsidRDefault="00012601">
            <w:r>
              <w:t>Numan</w:t>
            </w:r>
            <w:r>
              <w:br/>
              <w:t>Demsa</w:t>
            </w:r>
          </w:p>
        </w:tc>
        <w:tc>
          <w:tcPr>
            <w:tcW w:w="1559" w:type="dxa"/>
          </w:tcPr>
          <w:p w14:paraId="1C1DC940" w14:textId="05CEC3C1" w:rsidR="00F04491" w:rsidRDefault="00012601">
            <w:r w:rsidRPr="00012601">
              <w:t>$108,777</w:t>
            </w:r>
          </w:p>
        </w:tc>
        <w:tc>
          <w:tcPr>
            <w:tcW w:w="1430" w:type="dxa"/>
          </w:tcPr>
          <w:p w14:paraId="3DBE52F3" w14:textId="77777777" w:rsidR="00F04491" w:rsidRDefault="00F04491"/>
        </w:tc>
      </w:tr>
      <w:tr w:rsidR="00377DED" w14:paraId="35A221D3" w14:textId="77777777" w:rsidTr="00987DA9">
        <w:trPr>
          <w:trHeight w:val="480"/>
        </w:trPr>
        <w:tc>
          <w:tcPr>
            <w:tcW w:w="628" w:type="dxa"/>
          </w:tcPr>
          <w:p w14:paraId="5A80B805" w14:textId="66C05CC2" w:rsidR="00CE4699" w:rsidRDefault="00977E05">
            <w:r>
              <w:t>9</w:t>
            </w:r>
          </w:p>
        </w:tc>
        <w:tc>
          <w:tcPr>
            <w:tcW w:w="2043" w:type="dxa"/>
          </w:tcPr>
          <w:p w14:paraId="172073D5" w14:textId="1969D8DA" w:rsidR="00CE4699" w:rsidRDefault="00AF41F7">
            <w:r>
              <w:t>International Rescue Committee</w:t>
            </w:r>
          </w:p>
        </w:tc>
        <w:tc>
          <w:tcPr>
            <w:tcW w:w="7668" w:type="dxa"/>
          </w:tcPr>
          <w:p w14:paraId="530867F4" w14:textId="581B5C56" w:rsidR="00CE4699" w:rsidRDefault="00AF41F7">
            <w:r w:rsidRPr="00AF41F7">
              <w:rPr>
                <w:b/>
                <w:bCs/>
              </w:rPr>
              <w:t>EAA &amp; BMGF:</w:t>
            </w:r>
            <w:r>
              <w:t xml:space="preserve"> </w:t>
            </w:r>
            <w:r w:rsidRPr="00AF41F7">
              <w:t>Learn to Earn Plus</w:t>
            </w:r>
            <w:r w:rsidR="00977E05">
              <w:t xml:space="preserve">. </w:t>
            </w:r>
            <w:r w:rsidR="00977E05" w:rsidRPr="00977E05">
              <w:t xml:space="preserve">The IRC Nigeria, with support from Education Above All and the Bill and Melinda Gates Foundation, </w:t>
            </w:r>
            <w:r w:rsidR="00977E05">
              <w:t>is</w:t>
            </w:r>
            <w:r w:rsidR="00977E05" w:rsidRPr="00977E05">
              <w:t xml:space="preserve"> implement</w:t>
            </w:r>
            <w:r w:rsidR="00977E05">
              <w:t>ing</w:t>
            </w:r>
            <w:r w:rsidR="00977E05" w:rsidRPr="00977E05">
              <w:t xml:space="preserve"> an integrated programme to enable out of school children (OOSC), adolescents and youth in Adamawa State, northeast Nigeria, to develop climate adaptation-related vocational, literacy, numeracy, and life skills knowledge to strengthen their ability to be resilient to shocks and stresses. The project integrates education, health, environmental health (WASH), and economic recovery and development (ERD) sector interventions in the </w:t>
            </w:r>
            <w:proofErr w:type="spellStart"/>
            <w:r w:rsidR="00977E05" w:rsidRPr="00977E05">
              <w:t>Farang</w:t>
            </w:r>
            <w:proofErr w:type="spellEnd"/>
            <w:r w:rsidR="00977E05" w:rsidRPr="00977E05">
              <w:t xml:space="preserve"> </w:t>
            </w:r>
            <w:proofErr w:type="spellStart"/>
            <w:r w:rsidR="00977E05" w:rsidRPr="00977E05">
              <w:t>Farang</w:t>
            </w:r>
            <w:proofErr w:type="spellEnd"/>
            <w:r w:rsidR="00977E05" w:rsidRPr="00977E05">
              <w:t xml:space="preserve"> community within the </w:t>
            </w:r>
            <w:proofErr w:type="spellStart"/>
            <w:r w:rsidR="00977E05" w:rsidRPr="00977E05">
              <w:t>Fufore</w:t>
            </w:r>
            <w:proofErr w:type="spellEnd"/>
            <w:r w:rsidR="00977E05" w:rsidRPr="00977E05">
              <w:t xml:space="preserve"> Local Government Area (LGA). The project </w:t>
            </w:r>
            <w:r w:rsidR="00977E05">
              <w:t>is</w:t>
            </w:r>
            <w:r w:rsidR="00977E05" w:rsidRPr="00977E05">
              <w:t xml:space="preserve"> also provid</w:t>
            </w:r>
            <w:r w:rsidR="00977E05">
              <w:t>ing</w:t>
            </w:r>
            <w:r w:rsidR="00977E05" w:rsidRPr="00977E05">
              <w:t xml:space="preserve"> access to clean water, which is fundamentally lacking in this community. It will help adolescents and youth and their families better manage and improve their hygiene levels and access to sanitary wear.</w:t>
            </w:r>
          </w:p>
        </w:tc>
        <w:tc>
          <w:tcPr>
            <w:tcW w:w="1923" w:type="dxa"/>
          </w:tcPr>
          <w:p w14:paraId="0488D09D" w14:textId="6C5C491B" w:rsidR="00CE4699" w:rsidRDefault="00AF41F7">
            <w:proofErr w:type="spellStart"/>
            <w:r>
              <w:t>F</w:t>
            </w:r>
            <w:r w:rsidR="00977E05">
              <w:t>u</w:t>
            </w:r>
            <w:r>
              <w:t>fore</w:t>
            </w:r>
            <w:proofErr w:type="spellEnd"/>
          </w:p>
        </w:tc>
        <w:tc>
          <w:tcPr>
            <w:tcW w:w="1559" w:type="dxa"/>
          </w:tcPr>
          <w:p w14:paraId="0FB7C9C4" w14:textId="7443F806" w:rsidR="00CE4699" w:rsidRDefault="00AF41F7">
            <w:r w:rsidRPr="00AF41F7">
              <w:t>$266,000</w:t>
            </w:r>
          </w:p>
        </w:tc>
        <w:tc>
          <w:tcPr>
            <w:tcW w:w="1430" w:type="dxa"/>
          </w:tcPr>
          <w:p w14:paraId="18C4168F" w14:textId="77777777" w:rsidR="00CE4699" w:rsidRDefault="00CE4699"/>
        </w:tc>
      </w:tr>
      <w:tr w:rsidR="00AF41F7" w14:paraId="20297D6F" w14:textId="77777777" w:rsidTr="00987DA9">
        <w:trPr>
          <w:trHeight w:val="480"/>
        </w:trPr>
        <w:tc>
          <w:tcPr>
            <w:tcW w:w="628" w:type="dxa"/>
          </w:tcPr>
          <w:p w14:paraId="0ABC9907" w14:textId="77777777" w:rsidR="00AF41F7" w:rsidRDefault="00AF41F7"/>
        </w:tc>
        <w:tc>
          <w:tcPr>
            <w:tcW w:w="2043" w:type="dxa"/>
          </w:tcPr>
          <w:p w14:paraId="0047601D" w14:textId="77777777" w:rsidR="00AF41F7" w:rsidRDefault="00AF41F7"/>
        </w:tc>
        <w:tc>
          <w:tcPr>
            <w:tcW w:w="7668" w:type="dxa"/>
          </w:tcPr>
          <w:p w14:paraId="4D3EDF59" w14:textId="77777777" w:rsidR="00AF41F7" w:rsidRDefault="00AF41F7"/>
        </w:tc>
        <w:tc>
          <w:tcPr>
            <w:tcW w:w="1923" w:type="dxa"/>
          </w:tcPr>
          <w:p w14:paraId="000B36A0" w14:textId="77777777" w:rsidR="00AF41F7" w:rsidRDefault="00AF41F7"/>
        </w:tc>
        <w:tc>
          <w:tcPr>
            <w:tcW w:w="1559" w:type="dxa"/>
          </w:tcPr>
          <w:p w14:paraId="493B3918" w14:textId="77777777" w:rsidR="00AF41F7" w:rsidRDefault="00AF41F7"/>
        </w:tc>
        <w:tc>
          <w:tcPr>
            <w:tcW w:w="1430" w:type="dxa"/>
          </w:tcPr>
          <w:p w14:paraId="000A2491" w14:textId="77777777" w:rsidR="00AF41F7" w:rsidRDefault="00AF41F7"/>
        </w:tc>
      </w:tr>
    </w:tbl>
    <w:p w14:paraId="4785788B" w14:textId="77777777" w:rsidR="00CE4699" w:rsidRDefault="00CE4699"/>
    <w:sectPr w:rsidR="00CE4699" w:rsidSect="001A0D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99"/>
    <w:rsid w:val="00012601"/>
    <w:rsid w:val="0008509E"/>
    <w:rsid w:val="001A0DD9"/>
    <w:rsid w:val="00247A71"/>
    <w:rsid w:val="002E7679"/>
    <w:rsid w:val="003212E2"/>
    <w:rsid w:val="00377DED"/>
    <w:rsid w:val="003D387C"/>
    <w:rsid w:val="004501B3"/>
    <w:rsid w:val="006511C0"/>
    <w:rsid w:val="00697F63"/>
    <w:rsid w:val="00754042"/>
    <w:rsid w:val="007A608E"/>
    <w:rsid w:val="007B5973"/>
    <w:rsid w:val="00804D79"/>
    <w:rsid w:val="00977E05"/>
    <w:rsid w:val="00987DA9"/>
    <w:rsid w:val="00AB283C"/>
    <w:rsid w:val="00AF41F7"/>
    <w:rsid w:val="00C40FEB"/>
    <w:rsid w:val="00C84427"/>
    <w:rsid w:val="00CE4699"/>
    <w:rsid w:val="00E8765F"/>
    <w:rsid w:val="00EC76CC"/>
    <w:rsid w:val="00F04491"/>
    <w:rsid w:val="00F45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2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699"/>
    <w:rPr>
      <w:rFonts w:eastAsiaTheme="majorEastAsia" w:cstheme="majorBidi"/>
      <w:color w:val="272727" w:themeColor="text1" w:themeTint="D8"/>
    </w:rPr>
  </w:style>
  <w:style w:type="paragraph" w:styleId="Title">
    <w:name w:val="Title"/>
    <w:basedOn w:val="Normal"/>
    <w:next w:val="Normal"/>
    <w:link w:val="TitleChar"/>
    <w:uiPriority w:val="10"/>
    <w:qFormat/>
    <w:rsid w:val="00CE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699"/>
    <w:pPr>
      <w:spacing w:before="160"/>
      <w:jc w:val="center"/>
    </w:pPr>
    <w:rPr>
      <w:i/>
      <w:iCs/>
      <w:color w:val="404040" w:themeColor="text1" w:themeTint="BF"/>
    </w:rPr>
  </w:style>
  <w:style w:type="character" w:customStyle="1" w:styleId="QuoteChar">
    <w:name w:val="Quote Char"/>
    <w:basedOn w:val="DefaultParagraphFont"/>
    <w:link w:val="Quote"/>
    <w:uiPriority w:val="29"/>
    <w:rsid w:val="00CE4699"/>
    <w:rPr>
      <w:i/>
      <w:iCs/>
      <w:color w:val="404040" w:themeColor="text1" w:themeTint="BF"/>
    </w:rPr>
  </w:style>
  <w:style w:type="paragraph" w:styleId="ListParagraph">
    <w:name w:val="List Paragraph"/>
    <w:basedOn w:val="Normal"/>
    <w:uiPriority w:val="34"/>
    <w:qFormat/>
    <w:rsid w:val="00CE4699"/>
    <w:pPr>
      <w:ind w:left="720"/>
      <w:contextualSpacing/>
    </w:pPr>
  </w:style>
  <w:style w:type="character" w:styleId="IntenseEmphasis">
    <w:name w:val="Intense Emphasis"/>
    <w:basedOn w:val="DefaultParagraphFont"/>
    <w:uiPriority w:val="21"/>
    <w:qFormat/>
    <w:rsid w:val="00CE4699"/>
    <w:rPr>
      <w:i/>
      <w:iCs/>
      <w:color w:val="0F4761" w:themeColor="accent1" w:themeShade="BF"/>
    </w:rPr>
  </w:style>
  <w:style w:type="paragraph" w:styleId="IntenseQuote">
    <w:name w:val="Intense Quote"/>
    <w:basedOn w:val="Normal"/>
    <w:next w:val="Normal"/>
    <w:link w:val="IntenseQuoteChar"/>
    <w:uiPriority w:val="30"/>
    <w:qFormat/>
    <w:rsid w:val="00CE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699"/>
    <w:rPr>
      <w:i/>
      <w:iCs/>
      <w:color w:val="0F4761" w:themeColor="accent1" w:themeShade="BF"/>
    </w:rPr>
  </w:style>
  <w:style w:type="character" w:styleId="IntenseReference">
    <w:name w:val="Intense Reference"/>
    <w:basedOn w:val="DefaultParagraphFont"/>
    <w:uiPriority w:val="32"/>
    <w:qFormat/>
    <w:rsid w:val="00CE4699"/>
    <w:rPr>
      <w:b/>
      <w:bCs/>
      <w:smallCaps/>
      <w:color w:val="0F4761" w:themeColor="accent1" w:themeShade="BF"/>
      <w:spacing w:val="5"/>
    </w:rPr>
  </w:style>
  <w:style w:type="table" w:styleId="TableGrid">
    <w:name w:val="Table Grid"/>
    <w:basedOn w:val="TableNormal"/>
    <w:uiPriority w:val="39"/>
    <w:rsid w:val="00CE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699"/>
    <w:rPr>
      <w:rFonts w:eastAsiaTheme="majorEastAsia" w:cstheme="majorBidi"/>
      <w:color w:val="272727" w:themeColor="text1" w:themeTint="D8"/>
    </w:rPr>
  </w:style>
  <w:style w:type="paragraph" w:styleId="Title">
    <w:name w:val="Title"/>
    <w:basedOn w:val="Normal"/>
    <w:next w:val="Normal"/>
    <w:link w:val="TitleChar"/>
    <w:uiPriority w:val="10"/>
    <w:qFormat/>
    <w:rsid w:val="00CE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699"/>
    <w:pPr>
      <w:spacing w:before="160"/>
      <w:jc w:val="center"/>
    </w:pPr>
    <w:rPr>
      <w:i/>
      <w:iCs/>
      <w:color w:val="404040" w:themeColor="text1" w:themeTint="BF"/>
    </w:rPr>
  </w:style>
  <w:style w:type="character" w:customStyle="1" w:styleId="QuoteChar">
    <w:name w:val="Quote Char"/>
    <w:basedOn w:val="DefaultParagraphFont"/>
    <w:link w:val="Quote"/>
    <w:uiPriority w:val="29"/>
    <w:rsid w:val="00CE4699"/>
    <w:rPr>
      <w:i/>
      <w:iCs/>
      <w:color w:val="404040" w:themeColor="text1" w:themeTint="BF"/>
    </w:rPr>
  </w:style>
  <w:style w:type="paragraph" w:styleId="ListParagraph">
    <w:name w:val="List Paragraph"/>
    <w:basedOn w:val="Normal"/>
    <w:uiPriority w:val="34"/>
    <w:qFormat/>
    <w:rsid w:val="00CE4699"/>
    <w:pPr>
      <w:ind w:left="720"/>
      <w:contextualSpacing/>
    </w:pPr>
  </w:style>
  <w:style w:type="character" w:styleId="IntenseEmphasis">
    <w:name w:val="Intense Emphasis"/>
    <w:basedOn w:val="DefaultParagraphFont"/>
    <w:uiPriority w:val="21"/>
    <w:qFormat/>
    <w:rsid w:val="00CE4699"/>
    <w:rPr>
      <w:i/>
      <w:iCs/>
      <w:color w:val="0F4761" w:themeColor="accent1" w:themeShade="BF"/>
    </w:rPr>
  </w:style>
  <w:style w:type="paragraph" w:styleId="IntenseQuote">
    <w:name w:val="Intense Quote"/>
    <w:basedOn w:val="Normal"/>
    <w:next w:val="Normal"/>
    <w:link w:val="IntenseQuoteChar"/>
    <w:uiPriority w:val="30"/>
    <w:qFormat/>
    <w:rsid w:val="00CE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699"/>
    <w:rPr>
      <w:i/>
      <w:iCs/>
      <w:color w:val="0F4761" w:themeColor="accent1" w:themeShade="BF"/>
    </w:rPr>
  </w:style>
  <w:style w:type="character" w:styleId="IntenseReference">
    <w:name w:val="Intense Reference"/>
    <w:basedOn w:val="DefaultParagraphFont"/>
    <w:uiPriority w:val="32"/>
    <w:qFormat/>
    <w:rsid w:val="00CE4699"/>
    <w:rPr>
      <w:b/>
      <w:bCs/>
      <w:smallCaps/>
      <w:color w:val="0F4761" w:themeColor="accent1" w:themeShade="BF"/>
      <w:spacing w:val="5"/>
    </w:rPr>
  </w:style>
  <w:style w:type="table" w:styleId="TableGrid">
    <w:name w:val="Table Grid"/>
    <w:basedOn w:val="TableNormal"/>
    <w:uiPriority w:val="39"/>
    <w:rsid w:val="00CE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Onucheojo Oduka</dc:creator>
  <cp:keywords/>
  <dc:description/>
  <cp:lastModifiedBy>HP USER</cp:lastModifiedBy>
  <cp:revision>3</cp:revision>
  <dcterms:created xsi:type="dcterms:W3CDTF">2025-02-10T14:19:00Z</dcterms:created>
  <dcterms:modified xsi:type="dcterms:W3CDTF">2025-07-01T11:19:00Z</dcterms:modified>
</cp:coreProperties>
</file>