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4007408" w:rsidR="00D84B93" w:rsidRDefault="004A60F6">
      <w:pPr>
        <w:jc w:val="center"/>
        <w:rPr>
          <w:b/>
          <w:sz w:val="28"/>
          <w:szCs w:val="28"/>
        </w:rPr>
      </w:pPr>
      <w:r>
        <w:rPr>
          <w:b/>
          <w:sz w:val="28"/>
          <w:szCs w:val="28"/>
        </w:rPr>
        <w:t>BASELINE ASSESSMENT AND WARD ANALYSIS FOR THE PROJECT:</w:t>
      </w:r>
    </w:p>
    <w:p w14:paraId="00000002" w14:textId="6ACA8D2F" w:rsidR="00D84B93" w:rsidRDefault="004A60F6">
      <w:pPr>
        <w:jc w:val="center"/>
        <w:rPr>
          <w:b/>
          <w:sz w:val="28"/>
          <w:szCs w:val="28"/>
        </w:rPr>
      </w:pPr>
      <w:r>
        <w:rPr>
          <w:b/>
          <w:sz w:val="28"/>
          <w:szCs w:val="28"/>
        </w:rPr>
        <w:t>“SUPPORT TO IMPROVING SOCIAL COHESION THROUGH COMMUNITY DEVELOPMENT PLANNING IN 3 LGAS IN NORTH-EAST NIGERIA”</w:t>
      </w:r>
      <w:r w:rsidR="00BD64EF">
        <w:rPr>
          <w:b/>
          <w:sz w:val="28"/>
          <w:szCs w:val="28"/>
        </w:rPr>
        <w:t>.</w:t>
      </w:r>
    </w:p>
    <w:p w14:paraId="00000003" w14:textId="77777777" w:rsidR="00D84B93" w:rsidRDefault="00D84B93">
      <w:pPr>
        <w:jc w:val="center"/>
        <w:rPr>
          <w:b/>
          <w:sz w:val="28"/>
          <w:szCs w:val="28"/>
        </w:rPr>
      </w:pPr>
    </w:p>
    <w:p w14:paraId="00000004" w14:textId="32B3AADA" w:rsidR="00D84B93" w:rsidRDefault="004A60F6">
      <w:pPr>
        <w:jc w:val="center"/>
        <w:rPr>
          <w:b/>
          <w:sz w:val="28"/>
          <w:szCs w:val="28"/>
        </w:rPr>
      </w:pPr>
      <w:r>
        <w:rPr>
          <w:b/>
          <w:sz w:val="28"/>
          <w:szCs w:val="28"/>
        </w:rPr>
        <w:t>SUBMITTED TO</w:t>
      </w:r>
    </w:p>
    <w:p w14:paraId="00000005" w14:textId="77777777" w:rsidR="00D84B93" w:rsidRDefault="00D84B93">
      <w:pPr>
        <w:jc w:val="center"/>
        <w:rPr>
          <w:sz w:val="28"/>
          <w:szCs w:val="28"/>
        </w:rPr>
      </w:pPr>
    </w:p>
    <w:p w14:paraId="00000006" w14:textId="77777777" w:rsidR="00D84B93" w:rsidRDefault="00AC6398">
      <w:pPr>
        <w:jc w:val="center"/>
      </w:pPr>
      <w:r>
        <w:rPr>
          <w:noProof/>
        </w:rPr>
        <w:drawing>
          <wp:anchor distT="0" distB="0" distL="114300" distR="114300" simplePos="0" relativeHeight="251648512" behindDoc="0" locked="0" layoutInCell="1" hidden="0" allowOverlap="1" wp14:anchorId="5822ED5D" wp14:editId="367C19F0">
            <wp:simplePos x="0" y="0"/>
            <wp:positionH relativeFrom="column">
              <wp:posOffset>2374582</wp:posOffset>
            </wp:positionH>
            <wp:positionV relativeFrom="paragraph">
              <wp:posOffset>3601</wp:posOffset>
            </wp:positionV>
            <wp:extent cx="982345" cy="385445"/>
            <wp:effectExtent l="0" t="0" r="0" b="0"/>
            <wp:wrapNone/>
            <wp:docPr id="2142450665" name="image2.png" descr="C:\Users\SUNNY\Desktop\Partner Logos\Oxfam logo.png"/>
            <wp:cNvGraphicFramePr/>
            <a:graphic xmlns:a="http://schemas.openxmlformats.org/drawingml/2006/main">
              <a:graphicData uri="http://schemas.openxmlformats.org/drawingml/2006/picture">
                <pic:pic xmlns:pic="http://schemas.openxmlformats.org/drawingml/2006/picture">
                  <pic:nvPicPr>
                    <pic:cNvPr id="0" name="image2.png" descr="C:\Users\SUNNY\Desktop\Partner Logos\Oxfam logo.png"/>
                    <pic:cNvPicPr preferRelativeResize="0"/>
                  </pic:nvPicPr>
                  <pic:blipFill>
                    <a:blip r:embed="rId9"/>
                    <a:srcRect/>
                    <a:stretch>
                      <a:fillRect/>
                    </a:stretch>
                  </pic:blipFill>
                  <pic:spPr>
                    <a:xfrm>
                      <a:off x="0" y="0"/>
                      <a:ext cx="982345" cy="385445"/>
                    </a:xfrm>
                    <a:prstGeom prst="rect">
                      <a:avLst/>
                    </a:prstGeom>
                    <a:ln/>
                  </pic:spPr>
                </pic:pic>
              </a:graphicData>
            </a:graphic>
          </wp:anchor>
        </w:drawing>
      </w:r>
    </w:p>
    <w:p w14:paraId="00000007" w14:textId="77777777" w:rsidR="00D84B93" w:rsidRDefault="00D84B93">
      <w:pPr>
        <w:jc w:val="center"/>
      </w:pPr>
    </w:p>
    <w:p w14:paraId="00000008" w14:textId="77777777" w:rsidR="00D84B93" w:rsidRDefault="00D84B93">
      <w:pPr>
        <w:jc w:val="center"/>
      </w:pPr>
    </w:p>
    <w:p w14:paraId="00000009" w14:textId="77777777" w:rsidR="00D84B93" w:rsidRDefault="00AC6398">
      <w:pPr>
        <w:jc w:val="center"/>
      </w:pPr>
      <w:r>
        <w:t>BY</w:t>
      </w:r>
    </w:p>
    <w:p w14:paraId="0000000A" w14:textId="77777777" w:rsidR="00D84B93" w:rsidRDefault="00AC6398">
      <w:pPr>
        <w:jc w:val="center"/>
      </w:pPr>
      <w:r>
        <w:rPr>
          <w:noProof/>
        </w:rPr>
        <w:drawing>
          <wp:anchor distT="0" distB="0" distL="114300" distR="114300" simplePos="0" relativeHeight="251649536" behindDoc="0" locked="0" layoutInCell="1" hidden="0" allowOverlap="1" wp14:anchorId="3C8B2C43" wp14:editId="51FBC9DA">
            <wp:simplePos x="0" y="0"/>
            <wp:positionH relativeFrom="column">
              <wp:posOffset>2360929</wp:posOffset>
            </wp:positionH>
            <wp:positionV relativeFrom="paragraph">
              <wp:posOffset>286229</wp:posOffset>
            </wp:positionV>
            <wp:extent cx="1009650" cy="607695"/>
            <wp:effectExtent l="0" t="0" r="0" b="0"/>
            <wp:wrapTopAndBottom distT="0" distB="0"/>
            <wp:docPr id="21424506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09650" cy="607695"/>
                    </a:xfrm>
                    <a:prstGeom prst="rect">
                      <a:avLst/>
                    </a:prstGeom>
                    <a:ln/>
                  </pic:spPr>
                </pic:pic>
              </a:graphicData>
            </a:graphic>
          </wp:anchor>
        </w:drawing>
      </w:r>
    </w:p>
    <w:p w14:paraId="0000000C" w14:textId="77777777" w:rsidR="00D84B93" w:rsidRDefault="00AC6398">
      <w:pPr>
        <w:jc w:val="center"/>
        <w:rPr>
          <w:b/>
        </w:rPr>
      </w:pPr>
      <w:r>
        <w:rPr>
          <w:b/>
        </w:rPr>
        <w:t>CREST RESEARCH AND DEVELOPMENT INSTITUTE (CRADI)</w:t>
      </w:r>
    </w:p>
    <w:p w14:paraId="0000000D" w14:textId="77777777" w:rsidR="00D84B93" w:rsidRDefault="00D84B93">
      <w:pPr>
        <w:jc w:val="center"/>
      </w:pPr>
    </w:p>
    <w:p w14:paraId="0000000E" w14:textId="77777777" w:rsidR="00D84B93" w:rsidRDefault="00D84B93">
      <w:pPr>
        <w:jc w:val="center"/>
      </w:pPr>
    </w:p>
    <w:p w14:paraId="0000000F" w14:textId="77777777" w:rsidR="00D84B93" w:rsidRDefault="00D84B93"/>
    <w:tbl>
      <w:tblPr>
        <w:tblStyle w:val="4"/>
        <w:tblW w:w="6694" w:type="dxa"/>
        <w:tblInd w:w="1630"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000" w:firstRow="0" w:lastRow="0" w:firstColumn="0" w:lastColumn="0" w:noHBand="0" w:noVBand="0"/>
      </w:tblPr>
      <w:tblGrid>
        <w:gridCol w:w="1121"/>
        <w:gridCol w:w="5573"/>
      </w:tblGrid>
      <w:tr w:rsidR="00D84B93" w14:paraId="71B68A14" w14:textId="77777777" w:rsidTr="0009280D">
        <w:trPr>
          <w:trHeight w:val="466"/>
        </w:trPr>
        <w:tc>
          <w:tcPr>
            <w:tcW w:w="6694" w:type="dxa"/>
            <w:gridSpan w:val="2"/>
          </w:tcPr>
          <w:p w14:paraId="00000010" w14:textId="77777777" w:rsidR="00D84B93" w:rsidRDefault="00AC6398">
            <w:pPr>
              <w:jc w:val="center"/>
              <w:rPr>
                <w:b/>
              </w:rPr>
            </w:pPr>
            <w:r>
              <w:rPr>
                <w:b/>
              </w:rPr>
              <w:t>Contact information</w:t>
            </w:r>
          </w:p>
        </w:tc>
      </w:tr>
      <w:tr w:rsidR="00D84B93" w14:paraId="02DC2871" w14:textId="77777777" w:rsidTr="0009280D">
        <w:trPr>
          <w:trHeight w:val="468"/>
        </w:trPr>
        <w:tc>
          <w:tcPr>
            <w:tcW w:w="6694" w:type="dxa"/>
            <w:gridSpan w:val="2"/>
          </w:tcPr>
          <w:p w14:paraId="00000012" w14:textId="77777777" w:rsidR="00D84B93" w:rsidRDefault="00AC6398">
            <w:pPr>
              <w:jc w:val="center"/>
            </w:pPr>
            <w:r>
              <w:t>Lead Researcher: Adanu Christian Oyigocho</w:t>
            </w:r>
          </w:p>
        </w:tc>
      </w:tr>
      <w:tr w:rsidR="00D84B93" w14:paraId="53081E3D" w14:textId="77777777" w:rsidTr="0009280D">
        <w:trPr>
          <w:trHeight w:val="469"/>
        </w:trPr>
        <w:tc>
          <w:tcPr>
            <w:tcW w:w="1121" w:type="dxa"/>
          </w:tcPr>
          <w:p w14:paraId="00000014" w14:textId="77777777" w:rsidR="00D84B93" w:rsidRDefault="00AC6398">
            <w:r>
              <w:rPr>
                <w:noProof/>
              </w:rPr>
              <w:drawing>
                <wp:inline distT="0" distB="0" distL="0" distR="0" wp14:anchorId="770EFE95" wp14:editId="1549A2E0">
                  <wp:extent cx="271714" cy="171831"/>
                  <wp:effectExtent l="0" t="0" r="0" b="0"/>
                  <wp:docPr id="21424506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1714" cy="171831"/>
                          </a:xfrm>
                          <a:prstGeom prst="rect">
                            <a:avLst/>
                          </a:prstGeom>
                          <a:ln/>
                        </pic:spPr>
                      </pic:pic>
                    </a:graphicData>
                  </a:graphic>
                </wp:inline>
              </w:drawing>
            </w:r>
          </w:p>
        </w:tc>
        <w:tc>
          <w:tcPr>
            <w:tcW w:w="5573" w:type="dxa"/>
          </w:tcPr>
          <w:p w14:paraId="00000015" w14:textId="0194AB96" w:rsidR="00D84B93" w:rsidRDefault="00AC6398">
            <w:hyperlink r:id="rId12">
              <w:r>
                <w:t>admin@cradil.org</w:t>
              </w:r>
            </w:hyperlink>
            <w:r w:rsidR="005E4736">
              <w:t>,</w:t>
            </w:r>
            <w:r>
              <w:t xml:space="preserve"> </w:t>
            </w:r>
            <w:hyperlink r:id="rId13">
              <w:r>
                <w:t>crestrdinstitute@gmail.com</w:t>
              </w:r>
            </w:hyperlink>
          </w:p>
        </w:tc>
      </w:tr>
      <w:tr w:rsidR="00D84B93" w14:paraId="797CE3EC" w14:textId="77777777" w:rsidTr="0009280D">
        <w:trPr>
          <w:trHeight w:val="584"/>
        </w:trPr>
        <w:tc>
          <w:tcPr>
            <w:tcW w:w="1121" w:type="dxa"/>
          </w:tcPr>
          <w:p w14:paraId="00000016" w14:textId="77777777" w:rsidR="00D84B93" w:rsidRDefault="00AC6398">
            <w:r>
              <w:rPr>
                <w:noProof/>
              </w:rPr>
              <w:drawing>
                <wp:inline distT="0" distB="0" distL="0" distR="0" wp14:anchorId="44FA31E2" wp14:editId="4D588205">
                  <wp:extent cx="244526" cy="242887"/>
                  <wp:effectExtent l="0" t="0" r="0" b="0"/>
                  <wp:docPr id="2142450670" name="image3.png" descr="A blue globe with black background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globe with black background  AI-generated content may be incorrect."/>
                          <pic:cNvPicPr preferRelativeResize="0"/>
                        </pic:nvPicPr>
                        <pic:blipFill>
                          <a:blip r:embed="rId14"/>
                          <a:srcRect/>
                          <a:stretch>
                            <a:fillRect/>
                          </a:stretch>
                        </pic:blipFill>
                        <pic:spPr>
                          <a:xfrm>
                            <a:off x="0" y="0"/>
                            <a:ext cx="244526" cy="242887"/>
                          </a:xfrm>
                          <a:prstGeom prst="rect">
                            <a:avLst/>
                          </a:prstGeom>
                          <a:ln/>
                        </pic:spPr>
                      </pic:pic>
                    </a:graphicData>
                  </a:graphic>
                </wp:inline>
              </w:drawing>
            </w:r>
          </w:p>
        </w:tc>
        <w:tc>
          <w:tcPr>
            <w:tcW w:w="5573" w:type="dxa"/>
          </w:tcPr>
          <w:p w14:paraId="00000017" w14:textId="77777777" w:rsidR="00D84B93" w:rsidRDefault="00AC6398">
            <w:hyperlink r:id="rId15">
              <w:r>
                <w:t>www.cradil.org</w:t>
              </w:r>
            </w:hyperlink>
          </w:p>
        </w:tc>
      </w:tr>
      <w:tr w:rsidR="00D84B93" w14:paraId="4740DCCE" w14:textId="77777777" w:rsidTr="0009280D">
        <w:trPr>
          <w:trHeight w:val="496"/>
        </w:trPr>
        <w:tc>
          <w:tcPr>
            <w:tcW w:w="1121" w:type="dxa"/>
          </w:tcPr>
          <w:p w14:paraId="00000018" w14:textId="77777777" w:rsidR="00D84B93" w:rsidRDefault="00AC6398">
            <w:r>
              <w:rPr>
                <w:noProof/>
              </w:rPr>
              <w:drawing>
                <wp:inline distT="0" distB="0" distL="0" distR="0" wp14:anchorId="5780C844" wp14:editId="028FB95D">
                  <wp:extent cx="202248" cy="188594"/>
                  <wp:effectExtent l="0" t="0" r="0" b="0"/>
                  <wp:docPr id="21424506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2248" cy="188594"/>
                          </a:xfrm>
                          <a:prstGeom prst="rect">
                            <a:avLst/>
                          </a:prstGeom>
                          <a:ln/>
                        </pic:spPr>
                      </pic:pic>
                    </a:graphicData>
                  </a:graphic>
                </wp:inline>
              </w:drawing>
            </w:r>
          </w:p>
        </w:tc>
        <w:tc>
          <w:tcPr>
            <w:tcW w:w="5573" w:type="dxa"/>
          </w:tcPr>
          <w:p w14:paraId="00000019" w14:textId="77777777" w:rsidR="00D84B93" w:rsidRDefault="00AC6398">
            <w:r>
              <w:t>twitter.com/</w:t>
            </w:r>
            <w:proofErr w:type="spellStart"/>
            <w:r>
              <w:t>Cradihq</w:t>
            </w:r>
            <w:proofErr w:type="spellEnd"/>
          </w:p>
        </w:tc>
      </w:tr>
      <w:tr w:rsidR="00D84B93" w14:paraId="1E639F48" w14:textId="77777777" w:rsidTr="0009280D">
        <w:trPr>
          <w:trHeight w:val="584"/>
        </w:trPr>
        <w:tc>
          <w:tcPr>
            <w:tcW w:w="1121" w:type="dxa"/>
          </w:tcPr>
          <w:p w14:paraId="0000001A" w14:textId="77777777" w:rsidR="00D84B93" w:rsidRDefault="00AC6398">
            <w:r>
              <w:rPr>
                <w:noProof/>
              </w:rPr>
              <w:drawing>
                <wp:inline distT="0" distB="0" distL="0" distR="0" wp14:anchorId="5EC6E466" wp14:editId="0F34FF11">
                  <wp:extent cx="244847" cy="243459"/>
                  <wp:effectExtent l="0" t="0" r="0" b="0"/>
                  <wp:docPr id="21424506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44847" cy="243459"/>
                          </a:xfrm>
                          <a:prstGeom prst="rect">
                            <a:avLst/>
                          </a:prstGeom>
                          <a:ln/>
                        </pic:spPr>
                      </pic:pic>
                    </a:graphicData>
                  </a:graphic>
                </wp:inline>
              </w:drawing>
            </w:r>
          </w:p>
        </w:tc>
        <w:tc>
          <w:tcPr>
            <w:tcW w:w="5573" w:type="dxa"/>
          </w:tcPr>
          <w:p w14:paraId="0000001B" w14:textId="1A779E1A" w:rsidR="00D84B93" w:rsidRDefault="00ED6FD4">
            <w:hyperlink r:id="rId18" w:history="1">
              <w:r w:rsidRPr="0072191D">
                <w:rPr>
                  <w:rStyle w:val="Hyperlink"/>
                </w:rPr>
                <w:t>www.facebook.com/cradihq</w:t>
              </w:r>
            </w:hyperlink>
          </w:p>
        </w:tc>
      </w:tr>
      <w:tr w:rsidR="00D84B93" w14:paraId="6EE25BD4" w14:textId="77777777" w:rsidTr="0009280D">
        <w:trPr>
          <w:trHeight w:val="588"/>
        </w:trPr>
        <w:tc>
          <w:tcPr>
            <w:tcW w:w="1121" w:type="dxa"/>
          </w:tcPr>
          <w:p w14:paraId="0000001C" w14:textId="77777777" w:rsidR="00D84B93" w:rsidRDefault="00AC6398">
            <w:r>
              <w:rPr>
                <w:noProof/>
              </w:rPr>
              <w:drawing>
                <wp:inline distT="0" distB="0" distL="0" distR="0" wp14:anchorId="7F29E9C4" wp14:editId="05FA060F">
                  <wp:extent cx="284280" cy="245744"/>
                  <wp:effectExtent l="0" t="0" r="0" b="0"/>
                  <wp:docPr id="2142450671" name="image7.png" descr="A blue and black logo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blue and black logo  AI-generated content may be incorrect."/>
                          <pic:cNvPicPr preferRelativeResize="0"/>
                        </pic:nvPicPr>
                        <pic:blipFill>
                          <a:blip r:embed="rId19"/>
                          <a:srcRect/>
                          <a:stretch>
                            <a:fillRect/>
                          </a:stretch>
                        </pic:blipFill>
                        <pic:spPr>
                          <a:xfrm>
                            <a:off x="0" y="0"/>
                            <a:ext cx="284280" cy="245744"/>
                          </a:xfrm>
                          <a:prstGeom prst="rect">
                            <a:avLst/>
                          </a:prstGeom>
                          <a:ln/>
                        </pic:spPr>
                      </pic:pic>
                    </a:graphicData>
                  </a:graphic>
                </wp:inline>
              </w:drawing>
            </w:r>
          </w:p>
        </w:tc>
        <w:tc>
          <w:tcPr>
            <w:tcW w:w="5573" w:type="dxa"/>
          </w:tcPr>
          <w:p w14:paraId="0000001D" w14:textId="77777777" w:rsidR="00D84B93" w:rsidRDefault="00AC6398">
            <w:hyperlink r:id="rId20">
              <w:r>
                <w:t>www.linkedin.com/company/cradi-hq</w:t>
              </w:r>
            </w:hyperlink>
          </w:p>
        </w:tc>
      </w:tr>
    </w:tbl>
    <w:p w14:paraId="0000001E" w14:textId="77777777" w:rsidR="00D84B93" w:rsidRDefault="00D84B93">
      <w:pPr>
        <w:jc w:val="center"/>
        <w:rPr>
          <w:b/>
        </w:rPr>
      </w:pPr>
    </w:p>
    <w:p w14:paraId="0000001F" w14:textId="77777777" w:rsidR="00D84B93" w:rsidRDefault="00D84B93">
      <w:pPr>
        <w:jc w:val="center"/>
        <w:rPr>
          <w:b/>
        </w:rPr>
      </w:pPr>
    </w:p>
    <w:p w14:paraId="00000020" w14:textId="77777777" w:rsidR="00D84B93" w:rsidRDefault="00D84B93">
      <w:pPr>
        <w:jc w:val="center"/>
        <w:rPr>
          <w:b/>
        </w:rPr>
      </w:pPr>
    </w:p>
    <w:p w14:paraId="00000021" w14:textId="77777777" w:rsidR="00D84B93" w:rsidRDefault="00D84B93">
      <w:pPr>
        <w:jc w:val="center"/>
        <w:rPr>
          <w:b/>
        </w:rPr>
      </w:pPr>
    </w:p>
    <w:p w14:paraId="00000022" w14:textId="77777777" w:rsidR="00D84B93" w:rsidRDefault="00D84B93">
      <w:pPr>
        <w:jc w:val="center"/>
        <w:rPr>
          <w:b/>
        </w:rPr>
      </w:pPr>
    </w:p>
    <w:p w14:paraId="00000023" w14:textId="77777777" w:rsidR="00D84B93" w:rsidRDefault="00D84B93">
      <w:pPr>
        <w:jc w:val="center"/>
        <w:rPr>
          <w:b/>
        </w:rPr>
      </w:pPr>
    </w:p>
    <w:p w14:paraId="00000024" w14:textId="77777777" w:rsidR="00D84B93" w:rsidRDefault="00D84B93">
      <w:pPr>
        <w:jc w:val="center"/>
        <w:rPr>
          <w:b/>
        </w:rPr>
      </w:pPr>
    </w:p>
    <w:p w14:paraId="00000025" w14:textId="77777777" w:rsidR="00D84B93" w:rsidRDefault="00D84B93">
      <w:pPr>
        <w:jc w:val="center"/>
        <w:rPr>
          <w:b/>
        </w:rPr>
      </w:pPr>
    </w:p>
    <w:p w14:paraId="00000026" w14:textId="77777777" w:rsidR="00D84B93" w:rsidRDefault="00D84B93">
      <w:pPr>
        <w:jc w:val="center"/>
        <w:rPr>
          <w:b/>
        </w:rPr>
      </w:pPr>
    </w:p>
    <w:p w14:paraId="00000027" w14:textId="77777777" w:rsidR="00D84B93" w:rsidRDefault="00D84B93">
      <w:pPr>
        <w:jc w:val="center"/>
        <w:rPr>
          <w:b/>
        </w:rPr>
      </w:pPr>
    </w:p>
    <w:p w14:paraId="00000028" w14:textId="77777777" w:rsidR="00D84B93" w:rsidRDefault="00D84B93">
      <w:pPr>
        <w:jc w:val="center"/>
        <w:rPr>
          <w:b/>
        </w:rPr>
      </w:pPr>
    </w:p>
    <w:p w14:paraId="00000029" w14:textId="77777777" w:rsidR="00D84B93" w:rsidRDefault="00D84B93">
      <w:pPr>
        <w:jc w:val="center"/>
        <w:rPr>
          <w:b/>
        </w:rPr>
      </w:pPr>
    </w:p>
    <w:p w14:paraId="0000002A" w14:textId="77777777" w:rsidR="00D84B93" w:rsidRDefault="00D84B93">
      <w:pPr>
        <w:jc w:val="center"/>
        <w:rPr>
          <w:b/>
        </w:rPr>
      </w:pPr>
    </w:p>
    <w:p w14:paraId="0000002B" w14:textId="77777777" w:rsidR="00D84B93" w:rsidRDefault="00D84B93">
      <w:pPr>
        <w:jc w:val="center"/>
        <w:rPr>
          <w:b/>
        </w:rPr>
      </w:pPr>
    </w:p>
    <w:p w14:paraId="0000002C" w14:textId="77777777" w:rsidR="00D84B93" w:rsidRDefault="00D84B93">
      <w:pPr>
        <w:jc w:val="center"/>
        <w:rPr>
          <w:b/>
        </w:rPr>
      </w:pPr>
    </w:p>
    <w:p w14:paraId="0000002D" w14:textId="77777777" w:rsidR="00D84B93" w:rsidRDefault="00D84B93">
      <w:pPr>
        <w:jc w:val="center"/>
        <w:rPr>
          <w:b/>
        </w:rPr>
      </w:pPr>
    </w:p>
    <w:p w14:paraId="0000002E" w14:textId="77777777" w:rsidR="00D84B93" w:rsidRDefault="00D84B93">
      <w:pPr>
        <w:jc w:val="center"/>
        <w:rPr>
          <w:b/>
        </w:rPr>
      </w:pPr>
    </w:p>
    <w:p w14:paraId="0000002F" w14:textId="77777777" w:rsidR="00D84B93" w:rsidRDefault="00D84B93">
      <w:pPr>
        <w:jc w:val="center"/>
        <w:rPr>
          <w:b/>
        </w:rPr>
      </w:pPr>
    </w:p>
    <w:p w14:paraId="00000030" w14:textId="77777777" w:rsidR="00D84B93" w:rsidRDefault="00D84B93">
      <w:pPr>
        <w:jc w:val="center"/>
        <w:rPr>
          <w:b/>
        </w:rPr>
      </w:pPr>
    </w:p>
    <w:p w14:paraId="00000031" w14:textId="77777777" w:rsidR="00D84B93" w:rsidRDefault="00D84B93">
      <w:pPr>
        <w:jc w:val="center"/>
        <w:rPr>
          <w:b/>
        </w:rPr>
      </w:pPr>
    </w:p>
    <w:p w14:paraId="00000032" w14:textId="77777777" w:rsidR="00D84B93" w:rsidRDefault="00D84B93">
      <w:pPr>
        <w:jc w:val="center"/>
        <w:rPr>
          <w:b/>
        </w:rPr>
      </w:pPr>
    </w:p>
    <w:p w14:paraId="00000033" w14:textId="77777777" w:rsidR="00D84B93" w:rsidRDefault="00D84B93">
      <w:pPr>
        <w:jc w:val="center"/>
        <w:rPr>
          <w:b/>
        </w:rPr>
      </w:pPr>
    </w:p>
    <w:p w14:paraId="00000034" w14:textId="77777777" w:rsidR="00D84B93" w:rsidRDefault="00D84B93">
      <w:pPr>
        <w:jc w:val="center"/>
        <w:rPr>
          <w:b/>
        </w:rPr>
      </w:pPr>
    </w:p>
    <w:p w14:paraId="00000035" w14:textId="77777777" w:rsidR="00D84B93" w:rsidRDefault="00D84B93">
      <w:pPr>
        <w:jc w:val="center"/>
        <w:rPr>
          <w:b/>
        </w:rPr>
      </w:pPr>
    </w:p>
    <w:p w14:paraId="00000036" w14:textId="77777777" w:rsidR="00D84B93" w:rsidRDefault="00D84B93">
      <w:pPr>
        <w:jc w:val="center"/>
        <w:rPr>
          <w:b/>
        </w:rPr>
      </w:pPr>
    </w:p>
    <w:p w14:paraId="00000037" w14:textId="77777777" w:rsidR="00D84B93" w:rsidRDefault="00D84B93">
      <w:pPr>
        <w:jc w:val="center"/>
        <w:rPr>
          <w:b/>
        </w:rPr>
      </w:pPr>
    </w:p>
    <w:p w14:paraId="00000038" w14:textId="77777777" w:rsidR="00D84B93" w:rsidRDefault="00D84B93">
      <w:pPr>
        <w:jc w:val="center"/>
        <w:rPr>
          <w:b/>
        </w:rPr>
      </w:pPr>
    </w:p>
    <w:p w14:paraId="00000039" w14:textId="36808A6F" w:rsidR="00D84B93" w:rsidRDefault="00D84B93" w:rsidP="00DA1D8D">
      <w:pPr>
        <w:jc w:val="left"/>
        <w:rPr>
          <w:b/>
        </w:rPr>
      </w:pPr>
    </w:p>
    <w:p w14:paraId="0000003A" w14:textId="49427BF6" w:rsidR="00D84B93" w:rsidRDefault="00ED6FD4">
      <w:r w:rsidRPr="78F0955D">
        <w:rPr>
          <w:b/>
          <w:bCs/>
          <w:color w:val="44841A"/>
        </w:rPr>
        <w:t>Disclaimer:</w:t>
      </w:r>
      <w:r w:rsidRPr="78F0955D">
        <w:rPr>
          <w:color w:val="44841A"/>
        </w:rPr>
        <w:t xml:space="preserve"> </w:t>
      </w:r>
      <w:r w:rsidRPr="003D18C4">
        <w:t>This report was independently prepared by Crest Research and Development Institute (CRADI) at the request of OXFAM. CRADI is responsible for its preparation. The views expressed are those of the respondents consulted and do not necessarily reflect the positions of OXFAM or CRADI. Neither entity assumes liability for actions taken based on this report.</w:t>
      </w:r>
      <w:r w:rsidR="56648974">
        <w:t xml:space="preserve"> </w:t>
      </w:r>
      <w:r w:rsidR="00AC6398">
        <w:br w:type="page"/>
      </w:r>
    </w:p>
    <w:p w14:paraId="1D6A78B9" w14:textId="77777777" w:rsidR="00ED6FD4" w:rsidRDefault="00ED6FD4" w:rsidP="00ED6FD4">
      <w:pPr>
        <w:pStyle w:val="Heading1"/>
      </w:pPr>
      <w:bookmarkStart w:id="0" w:name="_Toc207390290"/>
      <w:r>
        <w:lastRenderedPageBreak/>
        <w:t>1. EXECUTIVE SUMMARY</w:t>
      </w:r>
      <w:bookmarkEnd w:id="0"/>
    </w:p>
    <w:p w14:paraId="18A618EB" w14:textId="509C6AF4" w:rsidR="00ED6FD4" w:rsidRDefault="00ED6FD4" w:rsidP="00ED6FD4">
      <w:r w:rsidRPr="007E5808">
        <w:t>This report presents a baseline assessment of governance, participation, access to services, and social cohesion across 31 wards in Biu and Kwaya Kusar LGAs of Borno State and Guyuk LGA of Adamawa State, Northeast Nigeria. In a region affected by conflict, displacement, and weak governance, the study provides a foundation for strengthening community-led development through the Community Development Planning (CDP) process. The findings will inform implementation under the Oxfam-GIZ social cohesion project, supporting efforts to ensure that development is inclusive, participatory, and accountable</w:t>
      </w:r>
      <w:r>
        <w:t>.</w:t>
      </w:r>
    </w:p>
    <w:p w14:paraId="37169C54" w14:textId="77777777" w:rsidR="00ED6FD4" w:rsidRDefault="00ED6FD4" w:rsidP="00ED6FD4">
      <w:pPr>
        <w:pStyle w:val="Heading2"/>
      </w:pPr>
      <w:bookmarkStart w:id="1" w:name="_Toc207390291"/>
      <w:r>
        <w:t>Methodology and Scope</w:t>
      </w:r>
      <w:bookmarkEnd w:id="1"/>
    </w:p>
    <w:p w14:paraId="0FCDA1C5" w14:textId="163A2A5D" w:rsidR="00ED6FD4" w:rsidRDefault="00ED6FD4" w:rsidP="00ED6FD4">
      <w:r w:rsidRPr="007E5808">
        <w:t xml:space="preserve">The assessment applied both quantitative and qualitative methods to provide a broad and deep understanding of community needs. A total of 436 respondents were surveyed across the three LGAs: 207 in Guyuk, 170 in Biu, and 59 in Kwaya Kusar, with sample sizes proportional to ward populations. Surveys were disaggregated by sex, age, and migration status to capture diversity. The team also conducted 27 Key Informant Interviews (KIIs) and 21 Focus Group Discussions (FGDs) with various stakeholders, including traditional leaders, youth and women’s groups, religious </w:t>
      </w:r>
      <w:r w:rsidR="00E17E9F">
        <w:t>leaders</w:t>
      </w:r>
      <w:r w:rsidRPr="007E5808">
        <w:t>, and government representatives. Quantitative data was analysed using SPSS and Power BI; qualitative responses were coded thematically using MAXQDA</w:t>
      </w:r>
      <w:r>
        <w:t>.</w:t>
      </w:r>
      <w:r w:rsidR="00D35A2E">
        <w:t xml:space="preserve"> </w:t>
      </w:r>
    </w:p>
    <w:p w14:paraId="5EC3B059" w14:textId="5AECFBD0" w:rsidR="00ED6FD4" w:rsidRDefault="00ED6FD4" w:rsidP="00ED6FD4">
      <w:pPr>
        <w:pStyle w:val="Heading2"/>
      </w:pPr>
      <w:bookmarkStart w:id="2" w:name="_Toc207390292"/>
      <w:r w:rsidRPr="007E5808">
        <w:t>Participant Demographics</w:t>
      </w:r>
      <w:bookmarkEnd w:id="2"/>
    </w:p>
    <w:p w14:paraId="14511F80" w14:textId="508543B0" w:rsidR="00ED6FD4" w:rsidRDefault="00ED6FD4" w:rsidP="00ED6FD4">
      <w:r w:rsidRPr="007E5808">
        <w:t>Of those surveyed, 53% were women and 47% men. By migration status, 60% were from host communities, 30% were returnees, and 10% were internally displaced persons (IDPs). Age-wise, 43% were 18–35 years, 36% were 36–45, and 21% were over 45. This mix reflects a diverse sample of the community’s lived realities</w:t>
      </w:r>
      <w:r>
        <w:t>.</w:t>
      </w:r>
    </w:p>
    <w:p w14:paraId="07322AD3" w14:textId="77777777" w:rsidR="00ED6FD4" w:rsidRDefault="00ED6FD4" w:rsidP="00ED6FD4">
      <w:pPr>
        <w:pStyle w:val="Heading2"/>
      </w:pPr>
      <w:bookmarkStart w:id="3" w:name="_Toc207390293"/>
      <w:r>
        <w:t>Key Findings</w:t>
      </w:r>
      <w:bookmarkEnd w:id="3"/>
    </w:p>
    <w:p w14:paraId="2AA19268" w14:textId="77777777" w:rsidR="00ED6FD4" w:rsidRDefault="00ED6FD4" w:rsidP="00ED6FD4">
      <w:pPr>
        <w:pStyle w:val="Heading2"/>
      </w:pPr>
      <w:bookmarkStart w:id="4" w:name="_Toc207390294"/>
      <w:r>
        <w:t>Governance and Participation</w:t>
      </w:r>
      <w:bookmarkEnd w:id="4"/>
    </w:p>
    <w:p w14:paraId="05042B28" w14:textId="600BE607" w:rsidR="00ED6FD4" w:rsidRDefault="00ED6FD4" w:rsidP="00ED6FD4">
      <w:r w:rsidRPr="007E5808">
        <w:t xml:space="preserve">Community involvement in decision-making remains limited. Only 20% of respondents reported participating in local planning or CDP activities in the past 12 months, and just 10.7% felt that their local government had become more responsive. Although women make up 68% of Community Action Group (CAG) members, only 26% were seen as actively contributing to decisions. Participation was lowest in Biu and Kwaya Kusar (19% each) and highest in Guyuk (35%). Additionally, 26% of respondents indicated that traditional and political leaders dominate planning processes, limiting space for women, youth, and displaced groups. </w:t>
      </w:r>
    </w:p>
    <w:p w14:paraId="0BF850B6" w14:textId="77777777" w:rsidR="00ED6FD4" w:rsidRDefault="00ED6FD4" w:rsidP="00ED6FD4">
      <w:pPr>
        <w:pStyle w:val="Heading2"/>
      </w:pPr>
      <w:bookmarkStart w:id="5" w:name="_Toc207390295"/>
      <w:r>
        <w:t>Services and Livelihoods</w:t>
      </w:r>
      <w:bookmarkEnd w:id="5"/>
    </w:p>
    <w:p w14:paraId="503D0BEA" w14:textId="438496D9" w:rsidR="00ED6FD4" w:rsidRPr="00E66806" w:rsidRDefault="00ED6FD4" w:rsidP="008D45EE">
      <w:r w:rsidRPr="00E66806">
        <w:t xml:space="preserve">Basic services remain inadequate, with only 5% of respondents reporting </w:t>
      </w:r>
      <w:r w:rsidR="00A74F84">
        <w:t xml:space="preserve">tarred </w:t>
      </w:r>
      <w:r w:rsidRPr="00E66806">
        <w:t xml:space="preserve">road access (4-7% across LGAs) - though most are unusable </w:t>
      </w:r>
      <w:r w:rsidR="00B004AD">
        <w:t>during</w:t>
      </w:r>
      <w:r w:rsidR="00B004AD" w:rsidRPr="00E66806">
        <w:t xml:space="preserve"> </w:t>
      </w:r>
      <w:r w:rsidRPr="00E66806">
        <w:t>rain</w:t>
      </w:r>
      <w:r w:rsidR="00BA374B">
        <w:t xml:space="preserve">y </w:t>
      </w:r>
      <w:r w:rsidRPr="00E66806">
        <w:t>s</w:t>
      </w:r>
      <w:r w:rsidR="00BA374B">
        <w:t>eason</w:t>
      </w:r>
      <w:r w:rsidRPr="00E66806">
        <w:t>. Water points average 11% availability (9-15%), but frequent breakdowns persist. While 21% of wards have primary schools (19-23%), only 12% have secondary schools (9-14%). Health facility access averages 14% (9-18%), often without reliable staffing or equipment</w:t>
      </w:r>
      <w:r w:rsidR="00E75273">
        <w:t xml:space="preserve"> or </w:t>
      </w:r>
      <w:r w:rsidR="00790B44">
        <w:t>medications</w:t>
      </w:r>
      <w:r w:rsidRPr="00E66806">
        <w:t>.</w:t>
      </w:r>
    </w:p>
    <w:p w14:paraId="50FEF9E1" w14:textId="77777777" w:rsidR="00ED6FD4" w:rsidRPr="00E66806" w:rsidRDefault="00ED6FD4" w:rsidP="008D45EE"/>
    <w:p w14:paraId="3D7F603B" w14:textId="38CFE4B2" w:rsidR="00ED6FD4" w:rsidRDefault="00E4638C" w:rsidP="00ED6FD4">
      <w:r w:rsidRPr="00E4638C">
        <w:lastRenderedPageBreak/>
        <w:t>Survey responses indicate that 78% of respondents reported self-employment in farming or petty trade as their main occupation. Among those surveyed, 20% in Biu and 1% in Guyuk identified themselves as not currently engaged in any occupation. While this does not represent official unemployment rates for the LGAs, it highlights significant livelihood disparities across locations. Women and youth face persistent resource barriers</w:t>
      </w:r>
      <w:r w:rsidR="00ED6FD4">
        <w:t>.</w:t>
      </w:r>
    </w:p>
    <w:p w14:paraId="5A9B90D2" w14:textId="77777777" w:rsidR="00ED6FD4" w:rsidRDefault="00ED6FD4" w:rsidP="00ED6FD4">
      <w:pPr>
        <w:pStyle w:val="Heading2"/>
      </w:pPr>
      <w:bookmarkStart w:id="6" w:name="_Toc207390296"/>
      <w:r>
        <w:t>Social Cohesion and Informal Networks</w:t>
      </w:r>
      <w:bookmarkEnd w:id="6"/>
    </w:p>
    <w:p w14:paraId="159DE0C1" w14:textId="60E3FBDB" w:rsidR="00ED6FD4" w:rsidRDefault="00ED6FD4" w:rsidP="00ED6FD4">
      <w:r w:rsidRPr="00060428">
        <w:t xml:space="preserve">Most respondents reported strong community bonds: 70% in Biu, 64% in Kwaya Kusar, and 51% in Guyuk said people in their communities get along well. Informal networks such as youth groups, women’s associations, and religious organisations play key roles in resolving disputes, organising activities, and providing mutual support. </w:t>
      </w:r>
      <w:r w:rsidR="003524F3">
        <w:t xml:space="preserve">Internally </w:t>
      </w:r>
      <w:r w:rsidRPr="00060428">
        <w:t xml:space="preserve">Displaced persons, returnees, and persons with disabilities </w:t>
      </w:r>
      <w:r w:rsidR="00300F55">
        <w:t>complained being</w:t>
      </w:r>
      <w:r w:rsidRPr="00060428">
        <w:t xml:space="preserve"> excluded from planning processes and community discussions.</w:t>
      </w:r>
    </w:p>
    <w:p w14:paraId="64C406C8" w14:textId="77777777" w:rsidR="00ED6FD4" w:rsidRDefault="00ED6FD4" w:rsidP="00ED6FD4">
      <w:pPr>
        <w:pStyle w:val="Heading2"/>
      </w:pPr>
      <w:bookmarkStart w:id="7" w:name="_Toc207390297"/>
      <w:r>
        <w:t>Accountability and Budgeting Gaps</w:t>
      </w:r>
      <w:bookmarkEnd w:id="7"/>
    </w:p>
    <w:p w14:paraId="22DE7D67" w14:textId="3A0DA8D8" w:rsidR="00ED6FD4" w:rsidRDefault="00ED6FD4" w:rsidP="00ED6FD4">
      <w:r w:rsidRPr="005476F7">
        <w:t>The assessment reveals significant implementation gaps in community development planning. Monitoring systems remain weak across all LGAs, with most communities receiving no updates on project progress. Budget allocations continue to overlook critical priorities for vulnerable groups, creating a persistent disconnect between community needs and government planning. While women participate actively in community groups, their influence in decision-making remains limited, with notable variations across regions. The most concerning gaps emerge in tracking implementation progress, where existing systems fail to provide communities with basic feedback on results. These challenges risk undermining trust in participatory planning processes if not addressed</w:t>
      </w:r>
      <w:r>
        <w:t>.</w:t>
      </w:r>
    </w:p>
    <w:p w14:paraId="4C7D8ED1" w14:textId="77777777" w:rsidR="00ED6FD4" w:rsidRPr="008D45EE" w:rsidRDefault="00ED6FD4" w:rsidP="00ED6FD4">
      <w:pPr>
        <w:rPr>
          <w:b/>
          <w:color w:val="44841A"/>
          <w:sz w:val="26"/>
          <w:szCs w:val="26"/>
        </w:rPr>
      </w:pPr>
      <w:r w:rsidRPr="008D45EE">
        <w:rPr>
          <w:b/>
          <w:color w:val="44841A"/>
          <w:sz w:val="26"/>
          <w:szCs w:val="26"/>
        </w:rPr>
        <w:t>Path Forward</w:t>
      </w:r>
    </w:p>
    <w:p w14:paraId="07DCBCD3" w14:textId="54BC0A37" w:rsidR="00ED6FD4" w:rsidRDefault="00ED6FD4" w:rsidP="00ED6FD4">
      <w:r>
        <w:t xml:space="preserve">These findings </w:t>
      </w:r>
      <w:r w:rsidR="007C6A05">
        <w:t>highlight</w:t>
      </w:r>
      <w:r>
        <w:t xml:space="preserve"> the need for more transparent and inclusive CDP implementation. LGAs must lead the process with support from trained planners, while CSOs and CAGs enhance community engagement and progress tracking. Bridging the current gaps—where only 38% of communities can monitor CDPs and just 4% of priorities are funded—requires stronger linkages between planning and budgeting. Moving forward, success will depend on institutionalizing inclusive participation, accountability mechanisms, and alignment with local budgets. By addressing power imbalances, leveraging community structures, and integrating CDPs into broader development frameworks, stakeholders can transform planning into tangible improvements in service delivery and trust.</w:t>
      </w:r>
      <w:r w:rsidR="000F555C">
        <w:t xml:space="preserve"> </w:t>
      </w:r>
    </w:p>
    <w:p w14:paraId="5DA3812D" w14:textId="3CDFC3F0" w:rsidR="00ED6FD4" w:rsidRDefault="00ED6FD4" w:rsidP="00ED6FD4"/>
    <w:p w14:paraId="67DDBB56" w14:textId="7AFE3BA0" w:rsidR="00ED6FD4" w:rsidRDefault="00ED6FD4">
      <w:r>
        <w:br w:type="page"/>
      </w:r>
    </w:p>
    <w:p w14:paraId="0000005B" w14:textId="3F7E8A36" w:rsidR="00D84B93" w:rsidRPr="00D372E4" w:rsidRDefault="00AC6398" w:rsidP="00D372E4">
      <w:pPr>
        <w:pStyle w:val="ListParagraph"/>
        <w:numPr>
          <w:ilvl w:val="0"/>
          <w:numId w:val="13"/>
        </w:numPr>
        <w:rPr>
          <w:b/>
          <w:color w:val="44841A"/>
        </w:rPr>
      </w:pPr>
      <w:r>
        <w:lastRenderedPageBreak/>
        <w:br w:type="page"/>
      </w:r>
    </w:p>
    <w:p w14:paraId="0000005C" w14:textId="77777777" w:rsidR="00D84B93" w:rsidRPr="00D372E4" w:rsidRDefault="00AC6398" w:rsidP="00D372E4">
      <w:pPr>
        <w:pStyle w:val="Heading1"/>
        <w:spacing w:after="0" w:afterAutospacing="0" w:line="240" w:lineRule="auto"/>
      </w:pPr>
      <w:bookmarkStart w:id="8" w:name="_Toc207390298"/>
      <w:r w:rsidRPr="00D372E4">
        <w:lastRenderedPageBreak/>
        <w:t>TABLE OF CONTENTS</w:t>
      </w:r>
      <w:bookmarkEnd w:id="8"/>
    </w:p>
    <w:sdt>
      <w:sdtPr>
        <w:id w:val="-1766981547"/>
        <w:docPartObj>
          <w:docPartGallery w:val="Table of Contents"/>
          <w:docPartUnique/>
        </w:docPartObj>
      </w:sdtPr>
      <w:sdtContent>
        <w:p w14:paraId="4C288CA8" w14:textId="42DC5E7A" w:rsidR="008633AD" w:rsidRDefault="00AC6398">
          <w:pPr>
            <w:pStyle w:val="TOC1"/>
            <w:tabs>
              <w:tab w:val="right" w:leader="dot" w:pos="9016"/>
            </w:tabs>
            <w:rPr>
              <w:rFonts w:asciiTheme="minorHAnsi" w:eastAsiaTheme="minorEastAsia" w:hAnsiTheme="minorHAnsi" w:cstheme="minorBidi"/>
              <w:noProof/>
              <w:kern w:val="2"/>
              <w14:ligatures w14:val="standardContextual"/>
            </w:rPr>
          </w:pPr>
          <w:r w:rsidRPr="00D372E4">
            <w:fldChar w:fldCharType="begin"/>
          </w:r>
          <w:r w:rsidRPr="00D372E4">
            <w:instrText xml:space="preserve"> TOC \h \u \z \t "Heading 1,1,Heading 2,2,Heading 3,3,"</w:instrText>
          </w:r>
          <w:r w:rsidRPr="00D372E4">
            <w:fldChar w:fldCharType="separate"/>
          </w:r>
          <w:hyperlink w:anchor="_Toc207390290" w:history="1">
            <w:r w:rsidR="008633AD" w:rsidRPr="006222FB">
              <w:rPr>
                <w:rStyle w:val="Hyperlink"/>
                <w:noProof/>
              </w:rPr>
              <w:t>1. EXECUTIVE SUMMARY</w:t>
            </w:r>
            <w:r w:rsidR="008633AD">
              <w:rPr>
                <w:noProof/>
                <w:webHidden/>
              </w:rPr>
              <w:tab/>
            </w:r>
            <w:r w:rsidR="008633AD">
              <w:rPr>
                <w:noProof/>
                <w:webHidden/>
              </w:rPr>
              <w:fldChar w:fldCharType="begin"/>
            </w:r>
            <w:r w:rsidR="008633AD">
              <w:rPr>
                <w:noProof/>
                <w:webHidden/>
              </w:rPr>
              <w:instrText xml:space="preserve"> PAGEREF _Toc207390290 \h </w:instrText>
            </w:r>
            <w:r w:rsidR="008633AD">
              <w:rPr>
                <w:noProof/>
                <w:webHidden/>
              </w:rPr>
            </w:r>
            <w:r w:rsidR="008633AD">
              <w:rPr>
                <w:noProof/>
                <w:webHidden/>
              </w:rPr>
              <w:fldChar w:fldCharType="separate"/>
            </w:r>
            <w:r w:rsidR="008633AD">
              <w:rPr>
                <w:noProof/>
                <w:webHidden/>
              </w:rPr>
              <w:t>2</w:t>
            </w:r>
            <w:r w:rsidR="008633AD">
              <w:rPr>
                <w:noProof/>
                <w:webHidden/>
              </w:rPr>
              <w:fldChar w:fldCharType="end"/>
            </w:r>
          </w:hyperlink>
        </w:p>
        <w:p w14:paraId="4AA8DD66" w14:textId="64089F06"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1" w:history="1">
            <w:r w:rsidRPr="006222FB">
              <w:rPr>
                <w:rStyle w:val="Hyperlink"/>
                <w:noProof/>
              </w:rPr>
              <w:t>Methodology and Scope</w:t>
            </w:r>
            <w:r>
              <w:rPr>
                <w:noProof/>
                <w:webHidden/>
              </w:rPr>
              <w:tab/>
            </w:r>
            <w:r>
              <w:rPr>
                <w:noProof/>
                <w:webHidden/>
              </w:rPr>
              <w:fldChar w:fldCharType="begin"/>
            </w:r>
            <w:r>
              <w:rPr>
                <w:noProof/>
                <w:webHidden/>
              </w:rPr>
              <w:instrText xml:space="preserve"> PAGEREF _Toc207390291 \h </w:instrText>
            </w:r>
            <w:r>
              <w:rPr>
                <w:noProof/>
                <w:webHidden/>
              </w:rPr>
            </w:r>
            <w:r>
              <w:rPr>
                <w:noProof/>
                <w:webHidden/>
              </w:rPr>
              <w:fldChar w:fldCharType="separate"/>
            </w:r>
            <w:r>
              <w:rPr>
                <w:noProof/>
                <w:webHidden/>
              </w:rPr>
              <w:t>2</w:t>
            </w:r>
            <w:r>
              <w:rPr>
                <w:noProof/>
                <w:webHidden/>
              </w:rPr>
              <w:fldChar w:fldCharType="end"/>
            </w:r>
          </w:hyperlink>
        </w:p>
        <w:p w14:paraId="4B428020" w14:textId="082C0983"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2" w:history="1">
            <w:r w:rsidRPr="006222FB">
              <w:rPr>
                <w:rStyle w:val="Hyperlink"/>
                <w:noProof/>
              </w:rPr>
              <w:t>Participant Demographics</w:t>
            </w:r>
            <w:r>
              <w:rPr>
                <w:noProof/>
                <w:webHidden/>
              </w:rPr>
              <w:tab/>
            </w:r>
            <w:r>
              <w:rPr>
                <w:noProof/>
                <w:webHidden/>
              </w:rPr>
              <w:fldChar w:fldCharType="begin"/>
            </w:r>
            <w:r>
              <w:rPr>
                <w:noProof/>
                <w:webHidden/>
              </w:rPr>
              <w:instrText xml:space="preserve"> PAGEREF _Toc207390292 \h </w:instrText>
            </w:r>
            <w:r>
              <w:rPr>
                <w:noProof/>
                <w:webHidden/>
              </w:rPr>
            </w:r>
            <w:r>
              <w:rPr>
                <w:noProof/>
                <w:webHidden/>
              </w:rPr>
              <w:fldChar w:fldCharType="separate"/>
            </w:r>
            <w:r>
              <w:rPr>
                <w:noProof/>
                <w:webHidden/>
              </w:rPr>
              <w:t>2</w:t>
            </w:r>
            <w:r>
              <w:rPr>
                <w:noProof/>
                <w:webHidden/>
              </w:rPr>
              <w:fldChar w:fldCharType="end"/>
            </w:r>
          </w:hyperlink>
        </w:p>
        <w:p w14:paraId="513A1EF2" w14:textId="64C4457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3" w:history="1">
            <w:r w:rsidRPr="006222FB">
              <w:rPr>
                <w:rStyle w:val="Hyperlink"/>
                <w:noProof/>
              </w:rPr>
              <w:t>Key Findings</w:t>
            </w:r>
            <w:r>
              <w:rPr>
                <w:noProof/>
                <w:webHidden/>
              </w:rPr>
              <w:tab/>
            </w:r>
            <w:r>
              <w:rPr>
                <w:noProof/>
                <w:webHidden/>
              </w:rPr>
              <w:fldChar w:fldCharType="begin"/>
            </w:r>
            <w:r>
              <w:rPr>
                <w:noProof/>
                <w:webHidden/>
              </w:rPr>
              <w:instrText xml:space="preserve"> PAGEREF _Toc207390293 \h </w:instrText>
            </w:r>
            <w:r>
              <w:rPr>
                <w:noProof/>
                <w:webHidden/>
              </w:rPr>
            </w:r>
            <w:r>
              <w:rPr>
                <w:noProof/>
                <w:webHidden/>
              </w:rPr>
              <w:fldChar w:fldCharType="separate"/>
            </w:r>
            <w:r>
              <w:rPr>
                <w:noProof/>
                <w:webHidden/>
              </w:rPr>
              <w:t>2</w:t>
            </w:r>
            <w:r>
              <w:rPr>
                <w:noProof/>
                <w:webHidden/>
              </w:rPr>
              <w:fldChar w:fldCharType="end"/>
            </w:r>
          </w:hyperlink>
        </w:p>
        <w:p w14:paraId="3DC20327" w14:textId="6611341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4" w:history="1">
            <w:r w:rsidRPr="006222FB">
              <w:rPr>
                <w:rStyle w:val="Hyperlink"/>
                <w:noProof/>
              </w:rPr>
              <w:t>Governance and Participation</w:t>
            </w:r>
            <w:r>
              <w:rPr>
                <w:noProof/>
                <w:webHidden/>
              </w:rPr>
              <w:tab/>
            </w:r>
            <w:r>
              <w:rPr>
                <w:noProof/>
                <w:webHidden/>
              </w:rPr>
              <w:fldChar w:fldCharType="begin"/>
            </w:r>
            <w:r>
              <w:rPr>
                <w:noProof/>
                <w:webHidden/>
              </w:rPr>
              <w:instrText xml:space="preserve"> PAGEREF _Toc207390294 \h </w:instrText>
            </w:r>
            <w:r>
              <w:rPr>
                <w:noProof/>
                <w:webHidden/>
              </w:rPr>
            </w:r>
            <w:r>
              <w:rPr>
                <w:noProof/>
                <w:webHidden/>
              </w:rPr>
              <w:fldChar w:fldCharType="separate"/>
            </w:r>
            <w:r>
              <w:rPr>
                <w:noProof/>
                <w:webHidden/>
              </w:rPr>
              <w:t>2</w:t>
            </w:r>
            <w:r>
              <w:rPr>
                <w:noProof/>
                <w:webHidden/>
              </w:rPr>
              <w:fldChar w:fldCharType="end"/>
            </w:r>
          </w:hyperlink>
        </w:p>
        <w:p w14:paraId="56FFD5D2" w14:textId="61386D5E"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5" w:history="1">
            <w:r w:rsidRPr="006222FB">
              <w:rPr>
                <w:rStyle w:val="Hyperlink"/>
                <w:noProof/>
              </w:rPr>
              <w:t>Services and Livelihoods</w:t>
            </w:r>
            <w:r>
              <w:rPr>
                <w:noProof/>
                <w:webHidden/>
              </w:rPr>
              <w:tab/>
            </w:r>
            <w:r>
              <w:rPr>
                <w:noProof/>
                <w:webHidden/>
              </w:rPr>
              <w:fldChar w:fldCharType="begin"/>
            </w:r>
            <w:r>
              <w:rPr>
                <w:noProof/>
                <w:webHidden/>
              </w:rPr>
              <w:instrText xml:space="preserve"> PAGEREF _Toc207390295 \h </w:instrText>
            </w:r>
            <w:r>
              <w:rPr>
                <w:noProof/>
                <w:webHidden/>
              </w:rPr>
            </w:r>
            <w:r>
              <w:rPr>
                <w:noProof/>
                <w:webHidden/>
              </w:rPr>
              <w:fldChar w:fldCharType="separate"/>
            </w:r>
            <w:r>
              <w:rPr>
                <w:noProof/>
                <w:webHidden/>
              </w:rPr>
              <w:t>2</w:t>
            </w:r>
            <w:r>
              <w:rPr>
                <w:noProof/>
                <w:webHidden/>
              </w:rPr>
              <w:fldChar w:fldCharType="end"/>
            </w:r>
          </w:hyperlink>
        </w:p>
        <w:p w14:paraId="2FBAAD49" w14:textId="446741A4"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6" w:history="1">
            <w:r w:rsidRPr="006222FB">
              <w:rPr>
                <w:rStyle w:val="Hyperlink"/>
                <w:noProof/>
              </w:rPr>
              <w:t>Social Cohesion and Informal Networks</w:t>
            </w:r>
            <w:r>
              <w:rPr>
                <w:noProof/>
                <w:webHidden/>
              </w:rPr>
              <w:tab/>
            </w:r>
            <w:r>
              <w:rPr>
                <w:noProof/>
                <w:webHidden/>
              </w:rPr>
              <w:fldChar w:fldCharType="begin"/>
            </w:r>
            <w:r>
              <w:rPr>
                <w:noProof/>
                <w:webHidden/>
              </w:rPr>
              <w:instrText xml:space="preserve"> PAGEREF _Toc207390296 \h </w:instrText>
            </w:r>
            <w:r>
              <w:rPr>
                <w:noProof/>
                <w:webHidden/>
              </w:rPr>
            </w:r>
            <w:r>
              <w:rPr>
                <w:noProof/>
                <w:webHidden/>
              </w:rPr>
              <w:fldChar w:fldCharType="separate"/>
            </w:r>
            <w:r>
              <w:rPr>
                <w:noProof/>
                <w:webHidden/>
              </w:rPr>
              <w:t>3</w:t>
            </w:r>
            <w:r>
              <w:rPr>
                <w:noProof/>
                <w:webHidden/>
              </w:rPr>
              <w:fldChar w:fldCharType="end"/>
            </w:r>
          </w:hyperlink>
        </w:p>
        <w:p w14:paraId="279694C0" w14:textId="771D4394"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297" w:history="1">
            <w:r w:rsidRPr="006222FB">
              <w:rPr>
                <w:rStyle w:val="Hyperlink"/>
                <w:noProof/>
              </w:rPr>
              <w:t>Accountability and Budgeting Gaps</w:t>
            </w:r>
            <w:r>
              <w:rPr>
                <w:noProof/>
                <w:webHidden/>
              </w:rPr>
              <w:tab/>
            </w:r>
            <w:r>
              <w:rPr>
                <w:noProof/>
                <w:webHidden/>
              </w:rPr>
              <w:fldChar w:fldCharType="begin"/>
            </w:r>
            <w:r>
              <w:rPr>
                <w:noProof/>
                <w:webHidden/>
              </w:rPr>
              <w:instrText xml:space="preserve"> PAGEREF _Toc207390297 \h </w:instrText>
            </w:r>
            <w:r>
              <w:rPr>
                <w:noProof/>
                <w:webHidden/>
              </w:rPr>
            </w:r>
            <w:r>
              <w:rPr>
                <w:noProof/>
                <w:webHidden/>
              </w:rPr>
              <w:fldChar w:fldCharType="separate"/>
            </w:r>
            <w:r>
              <w:rPr>
                <w:noProof/>
                <w:webHidden/>
              </w:rPr>
              <w:t>3</w:t>
            </w:r>
            <w:r>
              <w:rPr>
                <w:noProof/>
                <w:webHidden/>
              </w:rPr>
              <w:fldChar w:fldCharType="end"/>
            </w:r>
          </w:hyperlink>
        </w:p>
        <w:p w14:paraId="56D54B50" w14:textId="4E907EF9"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298" w:history="1">
            <w:r w:rsidRPr="006222FB">
              <w:rPr>
                <w:rStyle w:val="Hyperlink"/>
                <w:noProof/>
              </w:rPr>
              <w:t>TABLE OF CONTENTS</w:t>
            </w:r>
            <w:r>
              <w:rPr>
                <w:noProof/>
                <w:webHidden/>
              </w:rPr>
              <w:tab/>
            </w:r>
            <w:r>
              <w:rPr>
                <w:noProof/>
                <w:webHidden/>
              </w:rPr>
              <w:fldChar w:fldCharType="begin"/>
            </w:r>
            <w:r>
              <w:rPr>
                <w:noProof/>
                <w:webHidden/>
              </w:rPr>
              <w:instrText xml:space="preserve"> PAGEREF _Toc207390298 \h </w:instrText>
            </w:r>
            <w:r>
              <w:rPr>
                <w:noProof/>
                <w:webHidden/>
              </w:rPr>
            </w:r>
            <w:r>
              <w:rPr>
                <w:noProof/>
                <w:webHidden/>
              </w:rPr>
              <w:fldChar w:fldCharType="separate"/>
            </w:r>
            <w:r>
              <w:rPr>
                <w:noProof/>
                <w:webHidden/>
              </w:rPr>
              <w:t>5</w:t>
            </w:r>
            <w:r>
              <w:rPr>
                <w:noProof/>
                <w:webHidden/>
              </w:rPr>
              <w:fldChar w:fldCharType="end"/>
            </w:r>
          </w:hyperlink>
        </w:p>
        <w:p w14:paraId="4FB7136E" w14:textId="4EA172C9"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299" w:history="1">
            <w:r w:rsidRPr="006222FB">
              <w:rPr>
                <w:rStyle w:val="Hyperlink"/>
                <w:noProof/>
              </w:rPr>
              <w:t>ACRONYMS</w:t>
            </w:r>
            <w:r>
              <w:rPr>
                <w:noProof/>
                <w:webHidden/>
              </w:rPr>
              <w:tab/>
            </w:r>
            <w:r>
              <w:rPr>
                <w:noProof/>
                <w:webHidden/>
              </w:rPr>
              <w:fldChar w:fldCharType="begin"/>
            </w:r>
            <w:r>
              <w:rPr>
                <w:noProof/>
                <w:webHidden/>
              </w:rPr>
              <w:instrText xml:space="preserve"> PAGEREF _Toc207390299 \h </w:instrText>
            </w:r>
            <w:r>
              <w:rPr>
                <w:noProof/>
                <w:webHidden/>
              </w:rPr>
            </w:r>
            <w:r>
              <w:rPr>
                <w:noProof/>
                <w:webHidden/>
              </w:rPr>
              <w:fldChar w:fldCharType="separate"/>
            </w:r>
            <w:r>
              <w:rPr>
                <w:noProof/>
                <w:webHidden/>
              </w:rPr>
              <w:t>7</w:t>
            </w:r>
            <w:r>
              <w:rPr>
                <w:noProof/>
                <w:webHidden/>
              </w:rPr>
              <w:fldChar w:fldCharType="end"/>
            </w:r>
          </w:hyperlink>
        </w:p>
        <w:p w14:paraId="3D7134DC" w14:textId="5A211A14"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00" w:history="1">
            <w:r w:rsidRPr="006222FB">
              <w:rPr>
                <w:rStyle w:val="Hyperlink"/>
                <w:noProof/>
              </w:rPr>
              <w:t>LIST OF TABLES</w:t>
            </w:r>
            <w:r>
              <w:rPr>
                <w:noProof/>
                <w:webHidden/>
              </w:rPr>
              <w:tab/>
            </w:r>
            <w:r>
              <w:rPr>
                <w:noProof/>
                <w:webHidden/>
              </w:rPr>
              <w:fldChar w:fldCharType="begin"/>
            </w:r>
            <w:r>
              <w:rPr>
                <w:noProof/>
                <w:webHidden/>
              </w:rPr>
              <w:instrText xml:space="preserve"> PAGEREF _Toc207390300 \h </w:instrText>
            </w:r>
            <w:r>
              <w:rPr>
                <w:noProof/>
                <w:webHidden/>
              </w:rPr>
            </w:r>
            <w:r>
              <w:rPr>
                <w:noProof/>
                <w:webHidden/>
              </w:rPr>
              <w:fldChar w:fldCharType="separate"/>
            </w:r>
            <w:r>
              <w:rPr>
                <w:noProof/>
                <w:webHidden/>
              </w:rPr>
              <w:t>8</w:t>
            </w:r>
            <w:r>
              <w:rPr>
                <w:noProof/>
                <w:webHidden/>
              </w:rPr>
              <w:fldChar w:fldCharType="end"/>
            </w:r>
          </w:hyperlink>
        </w:p>
        <w:p w14:paraId="3B05A3DB" w14:textId="67209AFC"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01" w:history="1">
            <w:r w:rsidRPr="006222FB">
              <w:rPr>
                <w:rStyle w:val="Hyperlink"/>
                <w:noProof/>
              </w:rPr>
              <w:t>LIST OF FIGURES</w:t>
            </w:r>
            <w:r>
              <w:rPr>
                <w:noProof/>
                <w:webHidden/>
              </w:rPr>
              <w:tab/>
            </w:r>
            <w:r>
              <w:rPr>
                <w:noProof/>
                <w:webHidden/>
              </w:rPr>
              <w:fldChar w:fldCharType="begin"/>
            </w:r>
            <w:r>
              <w:rPr>
                <w:noProof/>
                <w:webHidden/>
              </w:rPr>
              <w:instrText xml:space="preserve"> PAGEREF _Toc207390301 \h </w:instrText>
            </w:r>
            <w:r>
              <w:rPr>
                <w:noProof/>
                <w:webHidden/>
              </w:rPr>
            </w:r>
            <w:r>
              <w:rPr>
                <w:noProof/>
                <w:webHidden/>
              </w:rPr>
              <w:fldChar w:fldCharType="separate"/>
            </w:r>
            <w:r>
              <w:rPr>
                <w:noProof/>
                <w:webHidden/>
              </w:rPr>
              <w:t>8</w:t>
            </w:r>
            <w:r>
              <w:rPr>
                <w:noProof/>
                <w:webHidden/>
              </w:rPr>
              <w:fldChar w:fldCharType="end"/>
            </w:r>
          </w:hyperlink>
        </w:p>
        <w:p w14:paraId="626BCA6B" w14:textId="710BEFA4"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02" w:history="1">
            <w:r w:rsidRPr="006222FB">
              <w:rPr>
                <w:rStyle w:val="Hyperlink"/>
                <w:noProof/>
              </w:rPr>
              <w:t>2. INTRODUCTION</w:t>
            </w:r>
            <w:r>
              <w:rPr>
                <w:noProof/>
                <w:webHidden/>
              </w:rPr>
              <w:tab/>
            </w:r>
            <w:r>
              <w:rPr>
                <w:noProof/>
                <w:webHidden/>
              </w:rPr>
              <w:fldChar w:fldCharType="begin"/>
            </w:r>
            <w:r>
              <w:rPr>
                <w:noProof/>
                <w:webHidden/>
              </w:rPr>
              <w:instrText xml:space="preserve"> PAGEREF _Toc207390302 \h </w:instrText>
            </w:r>
            <w:r>
              <w:rPr>
                <w:noProof/>
                <w:webHidden/>
              </w:rPr>
            </w:r>
            <w:r>
              <w:rPr>
                <w:noProof/>
                <w:webHidden/>
              </w:rPr>
              <w:fldChar w:fldCharType="separate"/>
            </w:r>
            <w:r>
              <w:rPr>
                <w:noProof/>
                <w:webHidden/>
              </w:rPr>
              <w:t>9</w:t>
            </w:r>
            <w:r>
              <w:rPr>
                <w:noProof/>
                <w:webHidden/>
              </w:rPr>
              <w:fldChar w:fldCharType="end"/>
            </w:r>
          </w:hyperlink>
        </w:p>
        <w:p w14:paraId="5C415E1C" w14:textId="6DA301EB"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3" w:history="1">
            <w:r w:rsidRPr="006222FB">
              <w:rPr>
                <w:rStyle w:val="Hyperlink"/>
                <w:noProof/>
              </w:rPr>
              <w:t>2.1 Project Background</w:t>
            </w:r>
            <w:r>
              <w:rPr>
                <w:noProof/>
                <w:webHidden/>
              </w:rPr>
              <w:tab/>
            </w:r>
            <w:r>
              <w:rPr>
                <w:noProof/>
                <w:webHidden/>
              </w:rPr>
              <w:fldChar w:fldCharType="begin"/>
            </w:r>
            <w:r>
              <w:rPr>
                <w:noProof/>
                <w:webHidden/>
              </w:rPr>
              <w:instrText xml:space="preserve"> PAGEREF _Toc207390303 \h </w:instrText>
            </w:r>
            <w:r>
              <w:rPr>
                <w:noProof/>
                <w:webHidden/>
              </w:rPr>
            </w:r>
            <w:r>
              <w:rPr>
                <w:noProof/>
                <w:webHidden/>
              </w:rPr>
              <w:fldChar w:fldCharType="separate"/>
            </w:r>
            <w:r>
              <w:rPr>
                <w:noProof/>
                <w:webHidden/>
              </w:rPr>
              <w:t>9</w:t>
            </w:r>
            <w:r>
              <w:rPr>
                <w:noProof/>
                <w:webHidden/>
              </w:rPr>
              <w:fldChar w:fldCharType="end"/>
            </w:r>
          </w:hyperlink>
        </w:p>
        <w:p w14:paraId="52C43FF2" w14:textId="4AE9526E"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4" w:history="1">
            <w:r w:rsidRPr="006222FB">
              <w:rPr>
                <w:rStyle w:val="Hyperlink"/>
                <w:noProof/>
              </w:rPr>
              <w:t>2.2 Purpose of the Baseline Assessment</w:t>
            </w:r>
            <w:r>
              <w:rPr>
                <w:noProof/>
                <w:webHidden/>
              </w:rPr>
              <w:tab/>
            </w:r>
            <w:r>
              <w:rPr>
                <w:noProof/>
                <w:webHidden/>
              </w:rPr>
              <w:fldChar w:fldCharType="begin"/>
            </w:r>
            <w:r>
              <w:rPr>
                <w:noProof/>
                <w:webHidden/>
              </w:rPr>
              <w:instrText xml:space="preserve"> PAGEREF _Toc207390304 \h </w:instrText>
            </w:r>
            <w:r>
              <w:rPr>
                <w:noProof/>
                <w:webHidden/>
              </w:rPr>
            </w:r>
            <w:r>
              <w:rPr>
                <w:noProof/>
                <w:webHidden/>
              </w:rPr>
              <w:fldChar w:fldCharType="separate"/>
            </w:r>
            <w:r>
              <w:rPr>
                <w:noProof/>
                <w:webHidden/>
              </w:rPr>
              <w:t>9</w:t>
            </w:r>
            <w:r>
              <w:rPr>
                <w:noProof/>
                <w:webHidden/>
              </w:rPr>
              <w:fldChar w:fldCharType="end"/>
            </w:r>
          </w:hyperlink>
        </w:p>
        <w:p w14:paraId="4DD616B5" w14:textId="12A250D3"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5" w:history="1">
            <w:r w:rsidRPr="006222FB">
              <w:rPr>
                <w:rStyle w:val="Hyperlink"/>
                <w:noProof/>
              </w:rPr>
              <w:t>2.3 Scope and Geographic Coverage</w:t>
            </w:r>
            <w:r>
              <w:rPr>
                <w:noProof/>
                <w:webHidden/>
              </w:rPr>
              <w:tab/>
            </w:r>
            <w:r>
              <w:rPr>
                <w:noProof/>
                <w:webHidden/>
              </w:rPr>
              <w:fldChar w:fldCharType="begin"/>
            </w:r>
            <w:r>
              <w:rPr>
                <w:noProof/>
                <w:webHidden/>
              </w:rPr>
              <w:instrText xml:space="preserve"> PAGEREF _Toc207390305 \h </w:instrText>
            </w:r>
            <w:r>
              <w:rPr>
                <w:noProof/>
                <w:webHidden/>
              </w:rPr>
            </w:r>
            <w:r>
              <w:rPr>
                <w:noProof/>
                <w:webHidden/>
              </w:rPr>
              <w:fldChar w:fldCharType="separate"/>
            </w:r>
            <w:r>
              <w:rPr>
                <w:noProof/>
                <w:webHidden/>
              </w:rPr>
              <w:t>10</w:t>
            </w:r>
            <w:r>
              <w:rPr>
                <w:noProof/>
                <w:webHidden/>
              </w:rPr>
              <w:fldChar w:fldCharType="end"/>
            </w:r>
          </w:hyperlink>
        </w:p>
        <w:p w14:paraId="2931F7E5" w14:textId="37847EE2"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06" w:history="1">
            <w:r w:rsidRPr="006222FB">
              <w:rPr>
                <w:rStyle w:val="Hyperlink"/>
                <w:noProof/>
              </w:rPr>
              <w:t>3. METHODOLOGY</w:t>
            </w:r>
            <w:r>
              <w:rPr>
                <w:noProof/>
                <w:webHidden/>
              </w:rPr>
              <w:tab/>
            </w:r>
            <w:r>
              <w:rPr>
                <w:noProof/>
                <w:webHidden/>
              </w:rPr>
              <w:fldChar w:fldCharType="begin"/>
            </w:r>
            <w:r>
              <w:rPr>
                <w:noProof/>
                <w:webHidden/>
              </w:rPr>
              <w:instrText xml:space="preserve"> PAGEREF _Toc207390306 \h </w:instrText>
            </w:r>
            <w:r>
              <w:rPr>
                <w:noProof/>
                <w:webHidden/>
              </w:rPr>
            </w:r>
            <w:r>
              <w:rPr>
                <w:noProof/>
                <w:webHidden/>
              </w:rPr>
              <w:fldChar w:fldCharType="separate"/>
            </w:r>
            <w:r>
              <w:rPr>
                <w:noProof/>
                <w:webHidden/>
              </w:rPr>
              <w:t>10</w:t>
            </w:r>
            <w:r>
              <w:rPr>
                <w:noProof/>
                <w:webHidden/>
              </w:rPr>
              <w:fldChar w:fldCharType="end"/>
            </w:r>
          </w:hyperlink>
        </w:p>
        <w:p w14:paraId="7CFFD35F" w14:textId="510D7E8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7" w:history="1">
            <w:r w:rsidRPr="006222FB">
              <w:rPr>
                <w:rStyle w:val="Hyperlink"/>
                <w:noProof/>
              </w:rPr>
              <w:t>3.1 Evaluation Approach</w:t>
            </w:r>
            <w:r>
              <w:rPr>
                <w:noProof/>
                <w:webHidden/>
              </w:rPr>
              <w:tab/>
            </w:r>
            <w:r>
              <w:rPr>
                <w:noProof/>
                <w:webHidden/>
              </w:rPr>
              <w:fldChar w:fldCharType="begin"/>
            </w:r>
            <w:r>
              <w:rPr>
                <w:noProof/>
                <w:webHidden/>
              </w:rPr>
              <w:instrText xml:space="preserve"> PAGEREF _Toc207390307 \h </w:instrText>
            </w:r>
            <w:r>
              <w:rPr>
                <w:noProof/>
                <w:webHidden/>
              </w:rPr>
            </w:r>
            <w:r>
              <w:rPr>
                <w:noProof/>
                <w:webHidden/>
              </w:rPr>
              <w:fldChar w:fldCharType="separate"/>
            </w:r>
            <w:r>
              <w:rPr>
                <w:noProof/>
                <w:webHidden/>
              </w:rPr>
              <w:t>10</w:t>
            </w:r>
            <w:r>
              <w:rPr>
                <w:noProof/>
                <w:webHidden/>
              </w:rPr>
              <w:fldChar w:fldCharType="end"/>
            </w:r>
          </w:hyperlink>
        </w:p>
        <w:p w14:paraId="7D5CD2C7" w14:textId="5713FD07"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8" w:history="1">
            <w:r w:rsidRPr="006222FB">
              <w:rPr>
                <w:rStyle w:val="Hyperlink"/>
                <w:noProof/>
              </w:rPr>
              <w:t>3.2 Study Design</w:t>
            </w:r>
            <w:r>
              <w:rPr>
                <w:noProof/>
                <w:webHidden/>
              </w:rPr>
              <w:tab/>
            </w:r>
            <w:r>
              <w:rPr>
                <w:noProof/>
                <w:webHidden/>
              </w:rPr>
              <w:fldChar w:fldCharType="begin"/>
            </w:r>
            <w:r>
              <w:rPr>
                <w:noProof/>
                <w:webHidden/>
              </w:rPr>
              <w:instrText xml:space="preserve"> PAGEREF _Toc207390308 \h </w:instrText>
            </w:r>
            <w:r>
              <w:rPr>
                <w:noProof/>
                <w:webHidden/>
              </w:rPr>
            </w:r>
            <w:r>
              <w:rPr>
                <w:noProof/>
                <w:webHidden/>
              </w:rPr>
              <w:fldChar w:fldCharType="separate"/>
            </w:r>
            <w:r>
              <w:rPr>
                <w:noProof/>
                <w:webHidden/>
              </w:rPr>
              <w:t>10</w:t>
            </w:r>
            <w:r>
              <w:rPr>
                <w:noProof/>
                <w:webHidden/>
              </w:rPr>
              <w:fldChar w:fldCharType="end"/>
            </w:r>
          </w:hyperlink>
        </w:p>
        <w:p w14:paraId="6D0F1274" w14:textId="662ACD37"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09" w:history="1">
            <w:r w:rsidRPr="006222FB">
              <w:rPr>
                <w:rStyle w:val="Hyperlink"/>
                <w:noProof/>
              </w:rPr>
              <w:t>3.3 Sampling Strategy and Sample Size</w:t>
            </w:r>
            <w:r>
              <w:rPr>
                <w:noProof/>
                <w:webHidden/>
              </w:rPr>
              <w:tab/>
            </w:r>
            <w:r>
              <w:rPr>
                <w:noProof/>
                <w:webHidden/>
              </w:rPr>
              <w:fldChar w:fldCharType="begin"/>
            </w:r>
            <w:r>
              <w:rPr>
                <w:noProof/>
                <w:webHidden/>
              </w:rPr>
              <w:instrText xml:space="preserve"> PAGEREF _Toc207390309 \h </w:instrText>
            </w:r>
            <w:r>
              <w:rPr>
                <w:noProof/>
                <w:webHidden/>
              </w:rPr>
            </w:r>
            <w:r>
              <w:rPr>
                <w:noProof/>
                <w:webHidden/>
              </w:rPr>
              <w:fldChar w:fldCharType="separate"/>
            </w:r>
            <w:r>
              <w:rPr>
                <w:noProof/>
                <w:webHidden/>
              </w:rPr>
              <w:t>11</w:t>
            </w:r>
            <w:r>
              <w:rPr>
                <w:noProof/>
                <w:webHidden/>
              </w:rPr>
              <w:fldChar w:fldCharType="end"/>
            </w:r>
          </w:hyperlink>
        </w:p>
        <w:p w14:paraId="7643D736" w14:textId="5A5875C0"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10" w:history="1">
            <w:r w:rsidRPr="006222FB">
              <w:rPr>
                <w:rStyle w:val="Hyperlink"/>
                <w:noProof/>
              </w:rPr>
              <w:t>3.4 Data Collection Tools and Techniques</w:t>
            </w:r>
            <w:r>
              <w:rPr>
                <w:noProof/>
                <w:webHidden/>
              </w:rPr>
              <w:tab/>
            </w:r>
            <w:r>
              <w:rPr>
                <w:noProof/>
                <w:webHidden/>
              </w:rPr>
              <w:fldChar w:fldCharType="begin"/>
            </w:r>
            <w:r>
              <w:rPr>
                <w:noProof/>
                <w:webHidden/>
              </w:rPr>
              <w:instrText xml:space="preserve"> PAGEREF _Toc207390310 \h </w:instrText>
            </w:r>
            <w:r>
              <w:rPr>
                <w:noProof/>
                <w:webHidden/>
              </w:rPr>
            </w:r>
            <w:r>
              <w:rPr>
                <w:noProof/>
                <w:webHidden/>
              </w:rPr>
              <w:fldChar w:fldCharType="separate"/>
            </w:r>
            <w:r>
              <w:rPr>
                <w:noProof/>
                <w:webHidden/>
              </w:rPr>
              <w:t>11</w:t>
            </w:r>
            <w:r>
              <w:rPr>
                <w:noProof/>
                <w:webHidden/>
              </w:rPr>
              <w:fldChar w:fldCharType="end"/>
            </w:r>
          </w:hyperlink>
        </w:p>
        <w:p w14:paraId="23A42230" w14:textId="2F2CD87A"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11" w:history="1">
            <w:r w:rsidRPr="006222FB">
              <w:rPr>
                <w:rStyle w:val="Hyperlink"/>
                <w:noProof/>
              </w:rPr>
              <w:t>3.5 Ethical Considerations and Safeguarding</w:t>
            </w:r>
            <w:r>
              <w:rPr>
                <w:noProof/>
                <w:webHidden/>
              </w:rPr>
              <w:tab/>
            </w:r>
            <w:r>
              <w:rPr>
                <w:noProof/>
                <w:webHidden/>
              </w:rPr>
              <w:fldChar w:fldCharType="begin"/>
            </w:r>
            <w:r>
              <w:rPr>
                <w:noProof/>
                <w:webHidden/>
              </w:rPr>
              <w:instrText xml:space="preserve"> PAGEREF _Toc207390311 \h </w:instrText>
            </w:r>
            <w:r>
              <w:rPr>
                <w:noProof/>
                <w:webHidden/>
              </w:rPr>
            </w:r>
            <w:r>
              <w:rPr>
                <w:noProof/>
                <w:webHidden/>
              </w:rPr>
              <w:fldChar w:fldCharType="separate"/>
            </w:r>
            <w:r>
              <w:rPr>
                <w:noProof/>
                <w:webHidden/>
              </w:rPr>
              <w:t>11</w:t>
            </w:r>
            <w:r>
              <w:rPr>
                <w:noProof/>
                <w:webHidden/>
              </w:rPr>
              <w:fldChar w:fldCharType="end"/>
            </w:r>
          </w:hyperlink>
        </w:p>
        <w:p w14:paraId="6AC050BE" w14:textId="61B46D38"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12" w:history="1">
            <w:r w:rsidRPr="006222FB">
              <w:rPr>
                <w:rStyle w:val="Hyperlink"/>
                <w:noProof/>
              </w:rPr>
              <w:t>3.6 Data Analysis Methods</w:t>
            </w:r>
            <w:r>
              <w:rPr>
                <w:noProof/>
                <w:webHidden/>
              </w:rPr>
              <w:tab/>
            </w:r>
            <w:r>
              <w:rPr>
                <w:noProof/>
                <w:webHidden/>
              </w:rPr>
              <w:fldChar w:fldCharType="begin"/>
            </w:r>
            <w:r>
              <w:rPr>
                <w:noProof/>
                <w:webHidden/>
              </w:rPr>
              <w:instrText xml:space="preserve"> PAGEREF _Toc207390312 \h </w:instrText>
            </w:r>
            <w:r>
              <w:rPr>
                <w:noProof/>
                <w:webHidden/>
              </w:rPr>
            </w:r>
            <w:r>
              <w:rPr>
                <w:noProof/>
                <w:webHidden/>
              </w:rPr>
              <w:fldChar w:fldCharType="separate"/>
            </w:r>
            <w:r>
              <w:rPr>
                <w:noProof/>
                <w:webHidden/>
              </w:rPr>
              <w:t>11</w:t>
            </w:r>
            <w:r>
              <w:rPr>
                <w:noProof/>
                <w:webHidden/>
              </w:rPr>
              <w:fldChar w:fldCharType="end"/>
            </w:r>
          </w:hyperlink>
        </w:p>
        <w:p w14:paraId="6EE689E6" w14:textId="5C0CFF1A"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13" w:history="1">
            <w:r w:rsidRPr="006222FB">
              <w:rPr>
                <w:rStyle w:val="Hyperlink"/>
                <w:noProof/>
              </w:rPr>
              <w:t>3.7 Limitations and Mitigation Strategies</w:t>
            </w:r>
            <w:r>
              <w:rPr>
                <w:noProof/>
                <w:webHidden/>
              </w:rPr>
              <w:tab/>
            </w:r>
            <w:r>
              <w:rPr>
                <w:noProof/>
                <w:webHidden/>
              </w:rPr>
              <w:fldChar w:fldCharType="begin"/>
            </w:r>
            <w:r>
              <w:rPr>
                <w:noProof/>
                <w:webHidden/>
              </w:rPr>
              <w:instrText xml:space="preserve"> PAGEREF _Toc207390313 \h </w:instrText>
            </w:r>
            <w:r>
              <w:rPr>
                <w:noProof/>
                <w:webHidden/>
              </w:rPr>
            </w:r>
            <w:r>
              <w:rPr>
                <w:noProof/>
                <w:webHidden/>
              </w:rPr>
              <w:fldChar w:fldCharType="separate"/>
            </w:r>
            <w:r>
              <w:rPr>
                <w:noProof/>
                <w:webHidden/>
              </w:rPr>
              <w:t>12</w:t>
            </w:r>
            <w:r>
              <w:rPr>
                <w:noProof/>
                <w:webHidden/>
              </w:rPr>
              <w:fldChar w:fldCharType="end"/>
            </w:r>
          </w:hyperlink>
        </w:p>
        <w:p w14:paraId="1D452695" w14:textId="0BA26055"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14" w:history="1">
            <w:r w:rsidRPr="006222FB">
              <w:rPr>
                <w:rStyle w:val="Hyperlink"/>
                <w:noProof/>
              </w:rPr>
              <w:t>3.8 Desk Review</w:t>
            </w:r>
            <w:r>
              <w:rPr>
                <w:noProof/>
                <w:webHidden/>
              </w:rPr>
              <w:tab/>
            </w:r>
            <w:r>
              <w:rPr>
                <w:noProof/>
                <w:webHidden/>
              </w:rPr>
              <w:fldChar w:fldCharType="begin"/>
            </w:r>
            <w:r>
              <w:rPr>
                <w:noProof/>
                <w:webHidden/>
              </w:rPr>
              <w:instrText xml:space="preserve"> PAGEREF _Toc207390314 \h </w:instrText>
            </w:r>
            <w:r>
              <w:rPr>
                <w:noProof/>
                <w:webHidden/>
              </w:rPr>
            </w:r>
            <w:r>
              <w:rPr>
                <w:noProof/>
                <w:webHidden/>
              </w:rPr>
              <w:fldChar w:fldCharType="separate"/>
            </w:r>
            <w:r>
              <w:rPr>
                <w:noProof/>
                <w:webHidden/>
              </w:rPr>
              <w:t>12</w:t>
            </w:r>
            <w:r>
              <w:rPr>
                <w:noProof/>
                <w:webHidden/>
              </w:rPr>
              <w:fldChar w:fldCharType="end"/>
            </w:r>
          </w:hyperlink>
        </w:p>
        <w:p w14:paraId="00E5D682" w14:textId="5FCDE847"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15" w:history="1">
            <w:r w:rsidRPr="006222FB">
              <w:rPr>
                <w:rStyle w:val="Hyperlink"/>
                <w:noProof/>
              </w:rPr>
              <w:t>4. FINDINGS</w:t>
            </w:r>
            <w:r>
              <w:rPr>
                <w:noProof/>
                <w:webHidden/>
              </w:rPr>
              <w:tab/>
            </w:r>
            <w:r>
              <w:rPr>
                <w:noProof/>
                <w:webHidden/>
              </w:rPr>
              <w:fldChar w:fldCharType="begin"/>
            </w:r>
            <w:r>
              <w:rPr>
                <w:noProof/>
                <w:webHidden/>
              </w:rPr>
              <w:instrText xml:space="preserve"> PAGEREF _Toc207390315 \h </w:instrText>
            </w:r>
            <w:r>
              <w:rPr>
                <w:noProof/>
                <w:webHidden/>
              </w:rPr>
            </w:r>
            <w:r>
              <w:rPr>
                <w:noProof/>
                <w:webHidden/>
              </w:rPr>
              <w:fldChar w:fldCharType="separate"/>
            </w:r>
            <w:r>
              <w:rPr>
                <w:noProof/>
                <w:webHidden/>
              </w:rPr>
              <w:t>14</w:t>
            </w:r>
            <w:r>
              <w:rPr>
                <w:noProof/>
                <w:webHidden/>
              </w:rPr>
              <w:fldChar w:fldCharType="end"/>
            </w:r>
          </w:hyperlink>
        </w:p>
        <w:p w14:paraId="0C62EB6F" w14:textId="463F91BA"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16" w:history="1">
            <w:r w:rsidRPr="006222FB">
              <w:rPr>
                <w:rStyle w:val="Hyperlink"/>
                <w:noProof/>
              </w:rPr>
              <w:t>4.1 Demography</w:t>
            </w:r>
            <w:r>
              <w:rPr>
                <w:noProof/>
                <w:webHidden/>
              </w:rPr>
              <w:tab/>
            </w:r>
            <w:r>
              <w:rPr>
                <w:noProof/>
                <w:webHidden/>
              </w:rPr>
              <w:fldChar w:fldCharType="begin"/>
            </w:r>
            <w:r>
              <w:rPr>
                <w:noProof/>
                <w:webHidden/>
              </w:rPr>
              <w:instrText xml:space="preserve"> PAGEREF _Toc207390316 \h </w:instrText>
            </w:r>
            <w:r>
              <w:rPr>
                <w:noProof/>
                <w:webHidden/>
              </w:rPr>
            </w:r>
            <w:r>
              <w:rPr>
                <w:noProof/>
                <w:webHidden/>
              </w:rPr>
              <w:fldChar w:fldCharType="separate"/>
            </w:r>
            <w:r>
              <w:rPr>
                <w:noProof/>
                <w:webHidden/>
              </w:rPr>
              <w:t>14</w:t>
            </w:r>
            <w:r>
              <w:rPr>
                <w:noProof/>
                <w:webHidden/>
              </w:rPr>
              <w:fldChar w:fldCharType="end"/>
            </w:r>
          </w:hyperlink>
        </w:p>
        <w:p w14:paraId="49EEA943" w14:textId="4AA10CD0"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17" w:history="1">
            <w:r w:rsidRPr="006222FB">
              <w:rPr>
                <w:rStyle w:val="Hyperlink"/>
                <w:noProof/>
              </w:rPr>
              <w:t>4.1.1 Marital Status of Respondents</w:t>
            </w:r>
            <w:r>
              <w:rPr>
                <w:noProof/>
                <w:webHidden/>
              </w:rPr>
              <w:tab/>
            </w:r>
            <w:r>
              <w:rPr>
                <w:noProof/>
                <w:webHidden/>
              </w:rPr>
              <w:fldChar w:fldCharType="begin"/>
            </w:r>
            <w:r>
              <w:rPr>
                <w:noProof/>
                <w:webHidden/>
              </w:rPr>
              <w:instrText xml:space="preserve"> PAGEREF _Toc207390317 \h </w:instrText>
            </w:r>
            <w:r>
              <w:rPr>
                <w:noProof/>
                <w:webHidden/>
              </w:rPr>
            </w:r>
            <w:r>
              <w:rPr>
                <w:noProof/>
                <w:webHidden/>
              </w:rPr>
              <w:fldChar w:fldCharType="separate"/>
            </w:r>
            <w:r>
              <w:rPr>
                <w:noProof/>
                <w:webHidden/>
              </w:rPr>
              <w:t>14</w:t>
            </w:r>
            <w:r>
              <w:rPr>
                <w:noProof/>
                <w:webHidden/>
              </w:rPr>
              <w:fldChar w:fldCharType="end"/>
            </w:r>
          </w:hyperlink>
        </w:p>
        <w:p w14:paraId="63E04D8F" w14:textId="782E9B2B"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18" w:history="1">
            <w:r w:rsidRPr="006222FB">
              <w:rPr>
                <w:rStyle w:val="Hyperlink"/>
                <w:noProof/>
              </w:rPr>
              <w:t>4.1.2 Age Composition</w:t>
            </w:r>
            <w:r>
              <w:rPr>
                <w:noProof/>
                <w:webHidden/>
              </w:rPr>
              <w:tab/>
            </w:r>
            <w:r>
              <w:rPr>
                <w:noProof/>
                <w:webHidden/>
              </w:rPr>
              <w:fldChar w:fldCharType="begin"/>
            </w:r>
            <w:r>
              <w:rPr>
                <w:noProof/>
                <w:webHidden/>
              </w:rPr>
              <w:instrText xml:space="preserve"> PAGEREF _Toc207390318 \h </w:instrText>
            </w:r>
            <w:r>
              <w:rPr>
                <w:noProof/>
                <w:webHidden/>
              </w:rPr>
            </w:r>
            <w:r>
              <w:rPr>
                <w:noProof/>
                <w:webHidden/>
              </w:rPr>
              <w:fldChar w:fldCharType="separate"/>
            </w:r>
            <w:r>
              <w:rPr>
                <w:noProof/>
                <w:webHidden/>
              </w:rPr>
              <w:t>14</w:t>
            </w:r>
            <w:r>
              <w:rPr>
                <w:noProof/>
                <w:webHidden/>
              </w:rPr>
              <w:fldChar w:fldCharType="end"/>
            </w:r>
          </w:hyperlink>
        </w:p>
        <w:p w14:paraId="2F0C63C8" w14:textId="3DF2316F"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19" w:history="1">
            <w:r w:rsidRPr="006222FB">
              <w:rPr>
                <w:rStyle w:val="Hyperlink"/>
                <w:noProof/>
              </w:rPr>
              <w:t>4.1.3 Sex of Respondents</w:t>
            </w:r>
            <w:r>
              <w:rPr>
                <w:noProof/>
                <w:webHidden/>
              </w:rPr>
              <w:tab/>
            </w:r>
            <w:r>
              <w:rPr>
                <w:noProof/>
                <w:webHidden/>
              </w:rPr>
              <w:fldChar w:fldCharType="begin"/>
            </w:r>
            <w:r>
              <w:rPr>
                <w:noProof/>
                <w:webHidden/>
              </w:rPr>
              <w:instrText xml:space="preserve"> PAGEREF _Toc207390319 \h </w:instrText>
            </w:r>
            <w:r>
              <w:rPr>
                <w:noProof/>
                <w:webHidden/>
              </w:rPr>
            </w:r>
            <w:r>
              <w:rPr>
                <w:noProof/>
                <w:webHidden/>
              </w:rPr>
              <w:fldChar w:fldCharType="separate"/>
            </w:r>
            <w:r>
              <w:rPr>
                <w:noProof/>
                <w:webHidden/>
              </w:rPr>
              <w:t>15</w:t>
            </w:r>
            <w:r>
              <w:rPr>
                <w:noProof/>
                <w:webHidden/>
              </w:rPr>
              <w:fldChar w:fldCharType="end"/>
            </w:r>
          </w:hyperlink>
        </w:p>
        <w:p w14:paraId="095CBAAA" w14:textId="55B1BFFD"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0" w:history="1">
            <w:r w:rsidRPr="006222FB">
              <w:rPr>
                <w:rStyle w:val="Hyperlink"/>
                <w:noProof/>
              </w:rPr>
              <w:t>4.1.3 Disability Status of Respondents</w:t>
            </w:r>
            <w:r>
              <w:rPr>
                <w:noProof/>
                <w:webHidden/>
              </w:rPr>
              <w:tab/>
            </w:r>
            <w:r>
              <w:rPr>
                <w:noProof/>
                <w:webHidden/>
              </w:rPr>
              <w:fldChar w:fldCharType="begin"/>
            </w:r>
            <w:r>
              <w:rPr>
                <w:noProof/>
                <w:webHidden/>
              </w:rPr>
              <w:instrText xml:space="preserve"> PAGEREF _Toc207390320 \h </w:instrText>
            </w:r>
            <w:r>
              <w:rPr>
                <w:noProof/>
                <w:webHidden/>
              </w:rPr>
            </w:r>
            <w:r>
              <w:rPr>
                <w:noProof/>
                <w:webHidden/>
              </w:rPr>
              <w:fldChar w:fldCharType="separate"/>
            </w:r>
            <w:r>
              <w:rPr>
                <w:noProof/>
                <w:webHidden/>
              </w:rPr>
              <w:t>15</w:t>
            </w:r>
            <w:r>
              <w:rPr>
                <w:noProof/>
                <w:webHidden/>
              </w:rPr>
              <w:fldChar w:fldCharType="end"/>
            </w:r>
          </w:hyperlink>
        </w:p>
        <w:p w14:paraId="4571B86A" w14:textId="0B492C77"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1" w:history="1">
            <w:r w:rsidRPr="006222FB">
              <w:rPr>
                <w:rStyle w:val="Hyperlink"/>
                <w:noProof/>
              </w:rPr>
              <w:t>4.1.4 Respondents’ Occupation</w:t>
            </w:r>
            <w:r>
              <w:rPr>
                <w:noProof/>
                <w:webHidden/>
              </w:rPr>
              <w:tab/>
            </w:r>
            <w:r>
              <w:rPr>
                <w:noProof/>
                <w:webHidden/>
              </w:rPr>
              <w:fldChar w:fldCharType="begin"/>
            </w:r>
            <w:r>
              <w:rPr>
                <w:noProof/>
                <w:webHidden/>
              </w:rPr>
              <w:instrText xml:space="preserve"> PAGEREF _Toc207390321 \h </w:instrText>
            </w:r>
            <w:r>
              <w:rPr>
                <w:noProof/>
                <w:webHidden/>
              </w:rPr>
            </w:r>
            <w:r>
              <w:rPr>
                <w:noProof/>
                <w:webHidden/>
              </w:rPr>
              <w:fldChar w:fldCharType="separate"/>
            </w:r>
            <w:r>
              <w:rPr>
                <w:noProof/>
                <w:webHidden/>
              </w:rPr>
              <w:t>15</w:t>
            </w:r>
            <w:r>
              <w:rPr>
                <w:noProof/>
                <w:webHidden/>
              </w:rPr>
              <w:fldChar w:fldCharType="end"/>
            </w:r>
          </w:hyperlink>
        </w:p>
        <w:p w14:paraId="36BC9E3D" w14:textId="34D7747C"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2" w:history="1">
            <w:r w:rsidRPr="006222FB">
              <w:rPr>
                <w:rStyle w:val="Hyperlink"/>
                <w:noProof/>
              </w:rPr>
              <w:t>4.1.5 Occupational Status and Economic Activity</w:t>
            </w:r>
            <w:r>
              <w:rPr>
                <w:noProof/>
                <w:webHidden/>
              </w:rPr>
              <w:tab/>
            </w:r>
            <w:r>
              <w:rPr>
                <w:noProof/>
                <w:webHidden/>
              </w:rPr>
              <w:fldChar w:fldCharType="begin"/>
            </w:r>
            <w:r>
              <w:rPr>
                <w:noProof/>
                <w:webHidden/>
              </w:rPr>
              <w:instrText xml:space="preserve"> PAGEREF _Toc207390322 \h </w:instrText>
            </w:r>
            <w:r>
              <w:rPr>
                <w:noProof/>
                <w:webHidden/>
              </w:rPr>
            </w:r>
            <w:r>
              <w:rPr>
                <w:noProof/>
                <w:webHidden/>
              </w:rPr>
              <w:fldChar w:fldCharType="separate"/>
            </w:r>
            <w:r>
              <w:rPr>
                <w:noProof/>
                <w:webHidden/>
              </w:rPr>
              <w:t>15</w:t>
            </w:r>
            <w:r>
              <w:rPr>
                <w:noProof/>
                <w:webHidden/>
              </w:rPr>
              <w:fldChar w:fldCharType="end"/>
            </w:r>
          </w:hyperlink>
        </w:p>
        <w:p w14:paraId="7D0F5AEE" w14:textId="394045B3"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3" w:history="1">
            <w:r w:rsidRPr="006222FB">
              <w:rPr>
                <w:rStyle w:val="Hyperlink"/>
                <w:noProof/>
              </w:rPr>
              <w:t>4.1.6 Education Levels</w:t>
            </w:r>
            <w:r>
              <w:rPr>
                <w:noProof/>
                <w:webHidden/>
              </w:rPr>
              <w:tab/>
            </w:r>
            <w:r>
              <w:rPr>
                <w:noProof/>
                <w:webHidden/>
              </w:rPr>
              <w:fldChar w:fldCharType="begin"/>
            </w:r>
            <w:r>
              <w:rPr>
                <w:noProof/>
                <w:webHidden/>
              </w:rPr>
              <w:instrText xml:space="preserve"> PAGEREF _Toc207390323 \h </w:instrText>
            </w:r>
            <w:r>
              <w:rPr>
                <w:noProof/>
                <w:webHidden/>
              </w:rPr>
            </w:r>
            <w:r>
              <w:rPr>
                <w:noProof/>
                <w:webHidden/>
              </w:rPr>
              <w:fldChar w:fldCharType="separate"/>
            </w:r>
            <w:r>
              <w:rPr>
                <w:noProof/>
                <w:webHidden/>
              </w:rPr>
              <w:t>16</w:t>
            </w:r>
            <w:r>
              <w:rPr>
                <w:noProof/>
                <w:webHidden/>
              </w:rPr>
              <w:fldChar w:fldCharType="end"/>
            </w:r>
          </w:hyperlink>
        </w:p>
        <w:p w14:paraId="51205552" w14:textId="3B44F951"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4" w:history="1">
            <w:r>
              <w:rPr>
                <w:noProof/>
                <w:webHidden/>
              </w:rPr>
              <w:tab/>
            </w:r>
            <w:r>
              <w:rPr>
                <w:noProof/>
                <w:webHidden/>
              </w:rPr>
              <w:fldChar w:fldCharType="begin"/>
            </w:r>
            <w:r>
              <w:rPr>
                <w:noProof/>
                <w:webHidden/>
              </w:rPr>
              <w:instrText xml:space="preserve"> PAGEREF _Toc207390324 \h </w:instrText>
            </w:r>
            <w:r>
              <w:rPr>
                <w:noProof/>
                <w:webHidden/>
              </w:rPr>
            </w:r>
            <w:r>
              <w:rPr>
                <w:noProof/>
                <w:webHidden/>
              </w:rPr>
              <w:fldChar w:fldCharType="separate"/>
            </w:r>
            <w:r>
              <w:rPr>
                <w:noProof/>
                <w:webHidden/>
              </w:rPr>
              <w:t>16</w:t>
            </w:r>
            <w:r>
              <w:rPr>
                <w:noProof/>
                <w:webHidden/>
              </w:rPr>
              <w:fldChar w:fldCharType="end"/>
            </w:r>
          </w:hyperlink>
        </w:p>
        <w:p w14:paraId="6076042D" w14:textId="624E480D"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5" w:history="1">
            <w:r w:rsidRPr="006222FB">
              <w:rPr>
                <w:rStyle w:val="Hyperlink"/>
                <w:noProof/>
              </w:rPr>
              <w:t>4</w:t>
            </w:r>
            <w:r>
              <w:rPr>
                <w:noProof/>
                <w:webHidden/>
              </w:rPr>
              <w:tab/>
            </w:r>
            <w:r>
              <w:rPr>
                <w:noProof/>
                <w:webHidden/>
              </w:rPr>
              <w:fldChar w:fldCharType="begin"/>
            </w:r>
            <w:r>
              <w:rPr>
                <w:noProof/>
                <w:webHidden/>
              </w:rPr>
              <w:instrText xml:space="preserve"> PAGEREF _Toc207390325 \h </w:instrText>
            </w:r>
            <w:r>
              <w:rPr>
                <w:noProof/>
                <w:webHidden/>
              </w:rPr>
            </w:r>
            <w:r>
              <w:rPr>
                <w:noProof/>
                <w:webHidden/>
              </w:rPr>
              <w:fldChar w:fldCharType="separate"/>
            </w:r>
            <w:r>
              <w:rPr>
                <w:noProof/>
                <w:webHidden/>
              </w:rPr>
              <w:t>16</w:t>
            </w:r>
            <w:r>
              <w:rPr>
                <w:noProof/>
                <w:webHidden/>
              </w:rPr>
              <w:fldChar w:fldCharType="end"/>
            </w:r>
          </w:hyperlink>
        </w:p>
        <w:p w14:paraId="2A8B26F0" w14:textId="54468B89"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6" w:history="1">
            <w:r w:rsidRPr="006222FB">
              <w:rPr>
                <w:rStyle w:val="Hyperlink"/>
                <w:noProof/>
              </w:rPr>
              <w:t>4.1.8 Migration status of respondents: Host Communities, IDPs, Returnees</w:t>
            </w:r>
            <w:r>
              <w:rPr>
                <w:noProof/>
                <w:webHidden/>
              </w:rPr>
              <w:tab/>
            </w:r>
            <w:r>
              <w:rPr>
                <w:noProof/>
                <w:webHidden/>
              </w:rPr>
              <w:fldChar w:fldCharType="begin"/>
            </w:r>
            <w:r>
              <w:rPr>
                <w:noProof/>
                <w:webHidden/>
              </w:rPr>
              <w:instrText xml:space="preserve"> PAGEREF _Toc207390326 \h </w:instrText>
            </w:r>
            <w:r>
              <w:rPr>
                <w:noProof/>
                <w:webHidden/>
              </w:rPr>
            </w:r>
            <w:r>
              <w:rPr>
                <w:noProof/>
                <w:webHidden/>
              </w:rPr>
              <w:fldChar w:fldCharType="separate"/>
            </w:r>
            <w:r>
              <w:rPr>
                <w:noProof/>
                <w:webHidden/>
              </w:rPr>
              <w:t>17</w:t>
            </w:r>
            <w:r>
              <w:rPr>
                <w:noProof/>
                <w:webHidden/>
              </w:rPr>
              <w:fldChar w:fldCharType="end"/>
            </w:r>
          </w:hyperlink>
        </w:p>
        <w:p w14:paraId="376190F1" w14:textId="614A7FB8"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27" w:history="1">
            <w:r w:rsidRPr="006222FB">
              <w:rPr>
                <w:rStyle w:val="Hyperlink"/>
                <w:noProof/>
              </w:rPr>
              <w:t>4.2 Ward-Level Findings</w:t>
            </w:r>
            <w:r>
              <w:rPr>
                <w:noProof/>
                <w:webHidden/>
              </w:rPr>
              <w:tab/>
            </w:r>
            <w:r>
              <w:rPr>
                <w:noProof/>
                <w:webHidden/>
              </w:rPr>
              <w:fldChar w:fldCharType="begin"/>
            </w:r>
            <w:r>
              <w:rPr>
                <w:noProof/>
                <w:webHidden/>
              </w:rPr>
              <w:instrText xml:space="preserve"> PAGEREF _Toc207390327 \h </w:instrText>
            </w:r>
            <w:r>
              <w:rPr>
                <w:noProof/>
                <w:webHidden/>
              </w:rPr>
            </w:r>
            <w:r>
              <w:rPr>
                <w:noProof/>
                <w:webHidden/>
              </w:rPr>
              <w:fldChar w:fldCharType="separate"/>
            </w:r>
            <w:r>
              <w:rPr>
                <w:noProof/>
                <w:webHidden/>
              </w:rPr>
              <w:t>17</w:t>
            </w:r>
            <w:r>
              <w:rPr>
                <w:noProof/>
                <w:webHidden/>
              </w:rPr>
              <w:fldChar w:fldCharType="end"/>
            </w:r>
          </w:hyperlink>
        </w:p>
        <w:p w14:paraId="35023987" w14:textId="201B9BD9"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28" w:history="1">
            <w:r w:rsidRPr="006222FB">
              <w:rPr>
                <w:rStyle w:val="Hyperlink"/>
                <w:noProof/>
              </w:rPr>
              <w:t>4.2.1 Livelihoods and Economic Conditions</w:t>
            </w:r>
            <w:r>
              <w:rPr>
                <w:noProof/>
                <w:webHidden/>
              </w:rPr>
              <w:tab/>
            </w:r>
            <w:r>
              <w:rPr>
                <w:noProof/>
                <w:webHidden/>
              </w:rPr>
              <w:fldChar w:fldCharType="begin"/>
            </w:r>
            <w:r>
              <w:rPr>
                <w:noProof/>
                <w:webHidden/>
              </w:rPr>
              <w:instrText xml:space="preserve"> PAGEREF _Toc207390328 \h </w:instrText>
            </w:r>
            <w:r>
              <w:rPr>
                <w:noProof/>
                <w:webHidden/>
              </w:rPr>
            </w:r>
            <w:r>
              <w:rPr>
                <w:noProof/>
                <w:webHidden/>
              </w:rPr>
              <w:fldChar w:fldCharType="separate"/>
            </w:r>
            <w:r>
              <w:rPr>
                <w:noProof/>
                <w:webHidden/>
              </w:rPr>
              <w:t>17</w:t>
            </w:r>
            <w:r>
              <w:rPr>
                <w:noProof/>
                <w:webHidden/>
              </w:rPr>
              <w:fldChar w:fldCharType="end"/>
            </w:r>
          </w:hyperlink>
        </w:p>
        <w:p w14:paraId="3165D0ED" w14:textId="6F532EF4"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29" w:history="1">
            <w:r w:rsidRPr="006222FB">
              <w:rPr>
                <w:rStyle w:val="Hyperlink"/>
                <w:noProof/>
              </w:rPr>
              <w:t>4.3 Intra and Intercommunal Interactions</w:t>
            </w:r>
            <w:r>
              <w:rPr>
                <w:noProof/>
                <w:webHidden/>
              </w:rPr>
              <w:tab/>
            </w:r>
            <w:r>
              <w:rPr>
                <w:noProof/>
                <w:webHidden/>
              </w:rPr>
              <w:fldChar w:fldCharType="begin"/>
            </w:r>
            <w:r>
              <w:rPr>
                <w:noProof/>
                <w:webHidden/>
              </w:rPr>
              <w:instrText xml:space="preserve"> PAGEREF _Toc207390329 \h </w:instrText>
            </w:r>
            <w:r>
              <w:rPr>
                <w:noProof/>
                <w:webHidden/>
              </w:rPr>
            </w:r>
            <w:r>
              <w:rPr>
                <w:noProof/>
                <w:webHidden/>
              </w:rPr>
              <w:fldChar w:fldCharType="separate"/>
            </w:r>
            <w:r>
              <w:rPr>
                <w:noProof/>
                <w:webHidden/>
              </w:rPr>
              <w:t>27</w:t>
            </w:r>
            <w:r>
              <w:rPr>
                <w:noProof/>
                <w:webHidden/>
              </w:rPr>
              <w:fldChar w:fldCharType="end"/>
            </w:r>
          </w:hyperlink>
        </w:p>
        <w:p w14:paraId="2A0CE89E" w14:textId="7AB3FF8F"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0" w:history="1">
            <w:r w:rsidRPr="006222FB">
              <w:rPr>
                <w:rStyle w:val="Hyperlink"/>
                <w:noProof/>
              </w:rPr>
              <w:t>4.3.1 Everyday Social Relations and Community Dialogue</w:t>
            </w:r>
            <w:r>
              <w:rPr>
                <w:noProof/>
                <w:webHidden/>
              </w:rPr>
              <w:tab/>
            </w:r>
            <w:r>
              <w:rPr>
                <w:noProof/>
                <w:webHidden/>
              </w:rPr>
              <w:fldChar w:fldCharType="begin"/>
            </w:r>
            <w:r>
              <w:rPr>
                <w:noProof/>
                <w:webHidden/>
              </w:rPr>
              <w:instrText xml:space="preserve"> PAGEREF _Toc207390330 \h </w:instrText>
            </w:r>
            <w:r>
              <w:rPr>
                <w:noProof/>
                <w:webHidden/>
              </w:rPr>
            </w:r>
            <w:r>
              <w:rPr>
                <w:noProof/>
                <w:webHidden/>
              </w:rPr>
              <w:fldChar w:fldCharType="separate"/>
            </w:r>
            <w:r>
              <w:rPr>
                <w:noProof/>
                <w:webHidden/>
              </w:rPr>
              <w:t>27</w:t>
            </w:r>
            <w:r>
              <w:rPr>
                <w:noProof/>
                <w:webHidden/>
              </w:rPr>
              <w:fldChar w:fldCharType="end"/>
            </w:r>
          </w:hyperlink>
        </w:p>
        <w:p w14:paraId="4C44CB0B" w14:textId="0F78EBBE"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1" w:history="1">
            <w:r w:rsidRPr="006222FB">
              <w:rPr>
                <w:rStyle w:val="Hyperlink"/>
                <w:noProof/>
              </w:rPr>
              <w:t>4.3.2 Cross-Ward Collaboration and Barriers to Unity</w:t>
            </w:r>
            <w:r>
              <w:rPr>
                <w:noProof/>
                <w:webHidden/>
              </w:rPr>
              <w:tab/>
            </w:r>
            <w:r>
              <w:rPr>
                <w:noProof/>
                <w:webHidden/>
              </w:rPr>
              <w:fldChar w:fldCharType="begin"/>
            </w:r>
            <w:r>
              <w:rPr>
                <w:noProof/>
                <w:webHidden/>
              </w:rPr>
              <w:instrText xml:space="preserve"> PAGEREF _Toc207390331 \h </w:instrText>
            </w:r>
            <w:r>
              <w:rPr>
                <w:noProof/>
                <w:webHidden/>
              </w:rPr>
            </w:r>
            <w:r>
              <w:rPr>
                <w:noProof/>
                <w:webHidden/>
              </w:rPr>
              <w:fldChar w:fldCharType="separate"/>
            </w:r>
            <w:r>
              <w:rPr>
                <w:noProof/>
                <w:webHidden/>
              </w:rPr>
              <w:t>28</w:t>
            </w:r>
            <w:r>
              <w:rPr>
                <w:noProof/>
                <w:webHidden/>
              </w:rPr>
              <w:fldChar w:fldCharType="end"/>
            </w:r>
          </w:hyperlink>
        </w:p>
        <w:p w14:paraId="062E3014" w14:textId="56151EC8"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2" w:history="1">
            <w:r w:rsidRPr="006222FB">
              <w:rPr>
                <w:rStyle w:val="Hyperlink"/>
                <w:noProof/>
              </w:rPr>
              <w:t>4.3.3 Variations in Social Cohesion by Location</w:t>
            </w:r>
            <w:r>
              <w:rPr>
                <w:noProof/>
                <w:webHidden/>
              </w:rPr>
              <w:tab/>
            </w:r>
            <w:r>
              <w:rPr>
                <w:noProof/>
                <w:webHidden/>
              </w:rPr>
              <w:fldChar w:fldCharType="begin"/>
            </w:r>
            <w:r>
              <w:rPr>
                <w:noProof/>
                <w:webHidden/>
              </w:rPr>
              <w:instrText xml:space="preserve"> PAGEREF _Toc207390332 \h </w:instrText>
            </w:r>
            <w:r>
              <w:rPr>
                <w:noProof/>
                <w:webHidden/>
              </w:rPr>
            </w:r>
            <w:r>
              <w:rPr>
                <w:noProof/>
                <w:webHidden/>
              </w:rPr>
              <w:fldChar w:fldCharType="separate"/>
            </w:r>
            <w:r>
              <w:rPr>
                <w:noProof/>
                <w:webHidden/>
              </w:rPr>
              <w:t>29</w:t>
            </w:r>
            <w:r>
              <w:rPr>
                <w:noProof/>
                <w:webHidden/>
              </w:rPr>
              <w:fldChar w:fldCharType="end"/>
            </w:r>
          </w:hyperlink>
        </w:p>
        <w:p w14:paraId="34F722E4" w14:textId="6868E5B5"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33" w:history="1">
            <w:r w:rsidRPr="006222FB">
              <w:rPr>
                <w:rStyle w:val="Hyperlink"/>
                <w:noProof/>
              </w:rPr>
              <w:t>4.4 Governance Structures and Power Relations</w:t>
            </w:r>
            <w:r>
              <w:rPr>
                <w:noProof/>
                <w:webHidden/>
              </w:rPr>
              <w:tab/>
            </w:r>
            <w:r>
              <w:rPr>
                <w:noProof/>
                <w:webHidden/>
              </w:rPr>
              <w:fldChar w:fldCharType="begin"/>
            </w:r>
            <w:r>
              <w:rPr>
                <w:noProof/>
                <w:webHidden/>
              </w:rPr>
              <w:instrText xml:space="preserve"> PAGEREF _Toc207390333 \h </w:instrText>
            </w:r>
            <w:r>
              <w:rPr>
                <w:noProof/>
                <w:webHidden/>
              </w:rPr>
            </w:r>
            <w:r>
              <w:rPr>
                <w:noProof/>
                <w:webHidden/>
              </w:rPr>
              <w:fldChar w:fldCharType="separate"/>
            </w:r>
            <w:r>
              <w:rPr>
                <w:noProof/>
                <w:webHidden/>
              </w:rPr>
              <w:t>30</w:t>
            </w:r>
            <w:r>
              <w:rPr>
                <w:noProof/>
                <w:webHidden/>
              </w:rPr>
              <w:fldChar w:fldCharType="end"/>
            </w:r>
          </w:hyperlink>
        </w:p>
        <w:p w14:paraId="08026471" w14:textId="3019FA3A"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34" w:history="1">
            <w:r w:rsidRPr="006222FB">
              <w:rPr>
                <w:rStyle w:val="Hyperlink"/>
                <w:noProof/>
              </w:rPr>
              <w:t>4.5 Risks to Citizens’ Participation in Governance</w:t>
            </w:r>
            <w:r>
              <w:rPr>
                <w:noProof/>
                <w:webHidden/>
              </w:rPr>
              <w:tab/>
            </w:r>
            <w:r>
              <w:rPr>
                <w:noProof/>
                <w:webHidden/>
              </w:rPr>
              <w:fldChar w:fldCharType="begin"/>
            </w:r>
            <w:r>
              <w:rPr>
                <w:noProof/>
                <w:webHidden/>
              </w:rPr>
              <w:instrText xml:space="preserve"> PAGEREF _Toc207390334 \h </w:instrText>
            </w:r>
            <w:r>
              <w:rPr>
                <w:noProof/>
                <w:webHidden/>
              </w:rPr>
            </w:r>
            <w:r>
              <w:rPr>
                <w:noProof/>
                <w:webHidden/>
              </w:rPr>
              <w:fldChar w:fldCharType="separate"/>
            </w:r>
            <w:r>
              <w:rPr>
                <w:noProof/>
                <w:webHidden/>
              </w:rPr>
              <w:t>36</w:t>
            </w:r>
            <w:r>
              <w:rPr>
                <w:noProof/>
                <w:webHidden/>
              </w:rPr>
              <w:fldChar w:fldCharType="end"/>
            </w:r>
          </w:hyperlink>
        </w:p>
        <w:p w14:paraId="5ED3EDD5" w14:textId="1D00221C"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5" w:history="1">
            <w:r w:rsidRPr="006222FB">
              <w:rPr>
                <w:rStyle w:val="Hyperlink"/>
                <w:noProof/>
              </w:rPr>
              <w:t>4.5.1 Barriers to Participation and Trust Deficits</w:t>
            </w:r>
            <w:r>
              <w:rPr>
                <w:noProof/>
                <w:webHidden/>
              </w:rPr>
              <w:tab/>
            </w:r>
            <w:r>
              <w:rPr>
                <w:noProof/>
                <w:webHidden/>
              </w:rPr>
              <w:fldChar w:fldCharType="begin"/>
            </w:r>
            <w:r>
              <w:rPr>
                <w:noProof/>
                <w:webHidden/>
              </w:rPr>
              <w:instrText xml:space="preserve"> PAGEREF _Toc207390335 \h </w:instrText>
            </w:r>
            <w:r>
              <w:rPr>
                <w:noProof/>
                <w:webHidden/>
              </w:rPr>
            </w:r>
            <w:r>
              <w:rPr>
                <w:noProof/>
                <w:webHidden/>
              </w:rPr>
              <w:fldChar w:fldCharType="separate"/>
            </w:r>
            <w:r>
              <w:rPr>
                <w:noProof/>
                <w:webHidden/>
              </w:rPr>
              <w:t>36</w:t>
            </w:r>
            <w:r>
              <w:rPr>
                <w:noProof/>
                <w:webHidden/>
              </w:rPr>
              <w:fldChar w:fldCharType="end"/>
            </w:r>
          </w:hyperlink>
        </w:p>
        <w:p w14:paraId="0357F9B8" w14:textId="3349DDA0"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6" w:history="1">
            <w:r w:rsidRPr="006222FB">
              <w:rPr>
                <w:rStyle w:val="Hyperlink"/>
                <w:noProof/>
              </w:rPr>
              <w:t>4.5.2 Community-Envisioned Enablers</w:t>
            </w:r>
            <w:r>
              <w:rPr>
                <w:noProof/>
                <w:webHidden/>
              </w:rPr>
              <w:tab/>
            </w:r>
            <w:r>
              <w:rPr>
                <w:noProof/>
                <w:webHidden/>
              </w:rPr>
              <w:fldChar w:fldCharType="begin"/>
            </w:r>
            <w:r>
              <w:rPr>
                <w:noProof/>
                <w:webHidden/>
              </w:rPr>
              <w:instrText xml:space="preserve"> PAGEREF _Toc207390336 \h </w:instrText>
            </w:r>
            <w:r>
              <w:rPr>
                <w:noProof/>
                <w:webHidden/>
              </w:rPr>
            </w:r>
            <w:r>
              <w:rPr>
                <w:noProof/>
                <w:webHidden/>
              </w:rPr>
              <w:fldChar w:fldCharType="separate"/>
            </w:r>
            <w:r>
              <w:rPr>
                <w:noProof/>
                <w:webHidden/>
              </w:rPr>
              <w:t>37</w:t>
            </w:r>
            <w:r>
              <w:rPr>
                <w:noProof/>
                <w:webHidden/>
              </w:rPr>
              <w:fldChar w:fldCharType="end"/>
            </w:r>
          </w:hyperlink>
        </w:p>
        <w:p w14:paraId="6113CC8D" w14:textId="1F1D40A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37" w:history="1">
            <w:r w:rsidRPr="006222FB">
              <w:rPr>
                <w:rStyle w:val="Hyperlink"/>
                <w:noProof/>
              </w:rPr>
              <w:t>4.6 Socio-Political Factors Affecting Implementation</w:t>
            </w:r>
            <w:r>
              <w:rPr>
                <w:noProof/>
                <w:webHidden/>
              </w:rPr>
              <w:tab/>
            </w:r>
            <w:r>
              <w:rPr>
                <w:noProof/>
                <w:webHidden/>
              </w:rPr>
              <w:fldChar w:fldCharType="begin"/>
            </w:r>
            <w:r>
              <w:rPr>
                <w:noProof/>
                <w:webHidden/>
              </w:rPr>
              <w:instrText xml:space="preserve"> PAGEREF _Toc207390337 \h </w:instrText>
            </w:r>
            <w:r>
              <w:rPr>
                <w:noProof/>
                <w:webHidden/>
              </w:rPr>
            </w:r>
            <w:r>
              <w:rPr>
                <w:noProof/>
                <w:webHidden/>
              </w:rPr>
              <w:fldChar w:fldCharType="separate"/>
            </w:r>
            <w:r>
              <w:rPr>
                <w:noProof/>
                <w:webHidden/>
              </w:rPr>
              <w:t>38</w:t>
            </w:r>
            <w:r>
              <w:rPr>
                <w:noProof/>
                <w:webHidden/>
              </w:rPr>
              <w:fldChar w:fldCharType="end"/>
            </w:r>
          </w:hyperlink>
        </w:p>
        <w:p w14:paraId="4F9B2CB7" w14:textId="3715A5A4"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8" w:history="1">
            <w:r w:rsidRPr="006222FB">
              <w:rPr>
                <w:rStyle w:val="Hyperlink"/>
                <w:noProof/>
              </w:rPr>
              <w:t>4.6.1 Local Politics, Power Struggles, and Gatekeeping</w:t>
            </w:r>
            <w:r>
              <w:rPr>
                <w:noProof/>
                <w:webHidden/>
              </w:rPr>
              <w:tab/>
            </w:r>
            <w:r>
              <w:rPr>
                <w:noProof/>
                <w:webHidden/>
              </w:rPr>
              <w:fldChar w:fldCharType="begin"/>
            </w:r>
            <w:r>
              <w:rPr>
                <w:noProof/>
                <w:webHidden/>
              </w:rPr>
              <w:instrText xml:space="preserve"> PAGEREF _Toc207390338 \h </w:instrText>
            </w:r>
            <w:r>
              <w:rPr>
                <w:noProof/>
                <w:webHidden/>
              </w:rPr>
            </w:r>
            <w:r>
              <w:rPr>
                <w:noProof/>
                <w:webHidden/>
              </w:rPr>
              <w:fldChar w:fldCharType="separate"/>
            </w:r>
            <w:r>
              <w:rPr>
                <w:noProof/>
                <w:webHidden/>
              </w:rPr>
              <w:t>38</w:t>
            </w:r>
            <w:r>
              <w:rPr>
                <w:noProof/>
                <w:webHidden/>
              </w:rPr>
              <w:fldChar w:fldCharType="end"/>
            </w:r>
          </w:hyperlink>
        </w:p>
        <w:p w14:paraId="0F0F4D1D" w14:textId="5C2BBB1C"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39" w:history="1">
            <w:r w:rsidRPr="006222FB">
              <w:rPr>
                <w:rStyle w:val="Hyperlink"/>
                <w:noProof/>
              </w:rPr>
              <w:t>4.6.2 Elite Capture and Patterns of Exclusion</w:t>
            </w:r>
            <w:r>
              <w:rPr>
                <w:noProof/>
                <w:webHidden/>
              </w:rPr>
              <w:tab/>
            </w:r>
            <w:r>
              <w:rPr>
                <w:noProof/>
                <w:webHidden/>
              </w:rPr>
              <w:fldChar w:fldCharType="begin"/>
            </w:r>
            <w:r>
              <w:rPr>
                <w:noProof/>
                <w:webHidden/>
              </w:rPr>
              <w:instrText xml:space="preserve"> PAGEREF _Toc207390339 \h </w:instrText>
            </w:r>
            <w:r>
              <w:rPr>
                <w:noProof/>
                <w:webHidden/>
              </w:rPr>
            </w:r>
            <w:r>
              <w:rPr>
                <w:noProof/>
                <w:webHidden/>
              </w:rPr>
              <w:fldChar w:fldCharType="separate"/>
            </w:r>
            <w:r>
              <w:rPr>
                <w:noProof/>
                <w:webHidden/>
              </w:rPr>
              <w:t>39</w:t>
            </w:r>
            <w:r>
              <w:rPr>
                <w:noProof/>
                <w:webHidden/>
              </w:rPr>
              <w:fldChar w:fldCharType="end"/>
            </w:r>
          </w:hyperlink>
        </w:p>
        <w:p w14:paraId="590E02D6" w14:textId="2728D435"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0" w:history="1">
            <w:r w:rsidRPr="006222FB">
              <w:rPr>
                <w:rStyle w:val="Hyperlink"/>
                <w:noProof/>
              </w:rPr>
              <w:t>4.6.3 Community-Sourced Mitigation Strategies</w:t>
            </w:r>
            <w:r>
              <w:rPr>
                <w:noProof/>
                <w:webHidden/>
              </w:rPr>
              <w:tab/>
            </w:r>
            <w:r>
              <w:rPr>
                <w:noProof/>
                <w:webHidden/>
              </w:rPr>
              <w:fldChar w:fldCharType="begin"/>
            </w:r>
            <w:r>
              <w:rPr>
                <w:noProof/>
                <w:webHidden/>
              </w:rPr>
              <w:instrText xml:space="preserve"> PAGEREF _Toc207390340 \h </w:instrText>
            </w:r>
            <w:r>
              <w:rPr>
                <w:noProof/>
                <w:webHidden/>
              </w:rPr>
            </w:r>
            <w:r>
              <w:rPr>
                <w:noProof/>
                <w:webHidden/>
              </w:rPr>
              <w:fldChar w:fldCharType="separate"/>
            </w:r>
            <w:r>
              <w:rPr>
                <w:noProof/>
                <w:webHidden/>
              </w:rPr>
              <w:t>40</w:t>
            </w:r>
            <w:r>
              <w:rPr>
                <w:noProof/>
                <w:webHidden/>
              </w:rPr>
              <w:fldChar w:fldCharType="end"/>
            </w:r>
          </w:hyperlink>
        </w:p>
        <w:p w14:paraId="098FB984" w14:textId="160AEC23"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41" w:history="1">
            <w:r w:rsidRPr="006222FB">
              <w:rPr>
                <w:rStyle w:val="Hyperlink"/>
                <w:noProof/>
              </w:rPr>
              <w:t>4.7 Risk and Stakeholder Analysis</w:t>
            </w:r>
            <w:r>
              <w:rPr>
                <w:noProof/>
                <w:webHidden/>
              </w:rPr>
              <w:tab/>
            </w:r>
            <w:r>
              <w:rPr>
                <w:noProof/>
                <w:webHidden/>
              </w:rPr>
              <w:fldChar w:fldCharType="begin"/>
            </w:r>
            <w:r>
              <w:rPr>
                <w:noProof/>
                <w:webHidden/>
              </w:rPr>
              <w:instrText xml:space="preserve"> PAGEREF _Toc207390341 \h </w:instrText>
            </w:r>
            <w:r>
              <w:rPr>
                <w:noProof/>
                <w:webHidden/>
              </w:rPr>
            </w:r>
            <w:r>
              <w:rPr>
                <w:noProof/>
                <w:webHidden/>
              </w:rPr>
              <w:fldChar w:fldCharType="separate"/>
            </w:r>
            <w:r>
              <w:rPr>
                <w:noProof/>
                <w:webHidden/>
              </w:rPr>
              <w:t>41</w:t>
            </w:r>
            <w:r>
              <w:rPr>
                <w:noProof/>
                <w:webHidden/>
              </w:rPr>
              <w:fldChar w:fldCharType="end"/>
            </w:r>
          </w:hyperlink>
        </w:p>
        <w:p w14:paraId="69CCB466" w14:textId="0EAD4FF5"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42" w:history="1">
            <w:r w:rsidRPr="006222FB">
              <w:rPr>
                <w:rStyle w:val="Hyperlink"/>
                <w:noProof/>
              </w:rPr>
              <w:t>4.8 Validation Workshop Insights</w:t>
            </w:r>
            <w:r>
              <w:rPr>
                <w:noProof/>
                <w:webHidden/>
              </w:rPr>
              <w:tab/>
            </w:r>
            <w:r>
              <w:rPr>
                <w:noProof/>
                <w:webHidden/>
              </w:rPr>
              <w:fldChar w:fldCharType="begin"/>
            </w:r>
            <w:r>
              <w:rPr>
                <w:noProof/>
                <w:webHidden/>
              </w:rPr>
              <w:instrText xml:space="preserve"> PAGEREF _Toc207390342 \h </w:instrText>
            </w:r>
            <w:r>
              <w:rPr>
                <w:noProof/>
                <w:webHidden/>
              </w:rPr>
            </w:r>
            <w:r>
              <w:rPr>
                <w:noProof/>
                <w:webHidden/>
              </w:rPr>
              <w:fldChar w:fldCharType="separate"/>
            </w:r>
            <w:r>
              <w:rPr>
                <w:noProof/>
                <w:webHidden/>
              </w:rPr>
              <w:t>42</w:t>
            </w:r>
            <w:r>
              <w:rPr>
                <w:noProof/>
                <w:webHidden/>
              </w:rPr>
              <w:fldChar w:fldCharType="end"/>
            </w:r>
          </w:hyperlink>
        </w:p>
        <w:p w14:paraId="6D3196C7" w14:textId="3CC482E4"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3" w:history="1">
            <w:r w:rsidRPr="006222FB">
              <w:rPr>
                <w:rStyle w:val="Hyperlink"/>
                <w:noProof/>
              </w:rPr>
              <w:t>Biu LGA</w:t>
            </w:r>
            <w:r>
              <w:rPr>
                <w:noProof/>
                <w:webHidden/>
              </w:rPr>
              <w:tab/>
            </w:r>
            <w:r>
              <w:rPr>
                <w:noProof/>
                <w:webHidden/>
              </w:rPr>
              <w:fldChar w:fldCharType="begin"/>
            </w:r>
            <w:r>
              <w:rPr>
                <w:noProof/>
                <w:webHidden/>
              </w:rPr>
              <w:instrText xml:space="preserve"> PAGEREF _Toc207390343 \h </w:instrText>
            </w:r>
            <w:r>
              <w:rPr>
                <w:noProof/>
                <w:webHidden/>
              </w:rPr>
            </w:r>
            <w:r>
              <w:rPr>
                <w:noProof/>
                <w:webHidden/>
              </w:rPr>
              <w:fldChar w:fldCharType="separate"/>
            </w:r>
            <w:r>
              <w:rPr>
                <w:noProof/>
                <w:webHidden/>
              </w:rPr>
              <w:t>42</w:t>
            </w:r>
            <w:r>
              <w:rPr>
                <w:noProof/>
                <w:webHidden/>
              </w:rPr>
              <w:fldChar w:fldCharType="end"/>
            </w:r>
          </w:hyperlink>
        </w:p>
        <w:p w14:paraId="22723573" w14:textId="3BE39124"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4" w:history="1">
            <w:r w:rsidRPr="006222FB">
              <w:rPr>
                <w:rStyle w:val="Hyperlink"/>
                <w:noProof/>
              </w:rPr>
              <w:t>Kwaya Kusar LGA</w:t>
            </w:r>
            <w:r>
              <w:rPr>
                <w:noProof/>
                <w:webHidden/>
              </w:rPr>
              <w:tab/>
            </w:r>
            <w:r>
              <w:rPr>
                <w:noProof/>
                <w:webHidden/>
              </w:rPr>
              <w:fldChar w:fldCharType="begin"/>
            </w:r>
            <w:r>
              <w:rPr>
                <w:noProof/>
                <w:webHidden/>
              </w:rPr>
              <w:instrText xml:space="preserve"> PAGEREF _Toc207390344 \h </w:instrText>
            </w:r>
            <w:r>
              <w:rPr>
                <w:noProof/>
                <w:webHidden/>
              </w:rPr>
            </w:r>
            <w:r>
              <w:rPr>
                <w:noProof/>
                <w:webHidden/>
              </w:rPr>
              <w:fldChar w:fldCharType="separate"/>
            </w:r>
            <w:r>
              <w:rPr>
                <w:noProof/>
                <w:webHidden/>
              </w:rPr>
              <w:t>43</w:t>
            </w:r>
            <w:r>
              <w:rPr>
                <w:noProof/>
                <w:webHidden/>
              </w:rPr>
              <w:fldChar w:fldCharType="end"/>
            </w:r>
          </w:hyperlink>
        </w:p>
        <w:p w14:paraId="127938A6" w14:textId="5CFDA532"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5" w:history="1">
            <w:r w:rsidRPr="006222FB">
              <w:rPr>
                <w:rStyle w:val="Hyperlink"/>
                <w:noProof/>
              </w:rPr>
              <w:t>Guyuk LGA</w:t>
            </w:r>
            <w:r>
              <w:rPr>
                <w:noProof/>
                <w:webHidden/>
              </w:rPr>
              <w:tab/>
            </w:r>
            <w:r>
              <w:rPr>
                <w:noProof/>
                <w:webHidden/>
              </w:rPr>
              <w:fldChar w:fldCharType="begin"/>
            </w:r>
            <w:r>
              <w:rPr>
                <w:noProof/>
                <w:webHidden/>
              </w:rPr>
              <w:instrText xml:space="preserve"> PAGEREF _Toc207390345 \h </w:instrText>
            </w:r>
            <w:r>
              <w:rPr>
                <w:noProof/>
                <w:webHidden/>
              </w:rPr>
            </w:r>
            <w:r>
              <w:rPr>
                <w:noProof/>
                <w:webHidden/>
              </w:rPr>
              <w:fldChar w:fldCharType="separate"/>
            </w:r>
            <w:r>
              <w:rPr>
                <w:noProof/>
                <w:webHidden/>
              </w:rPr>
              <w:t>44</w:t>
            </w:r>
            <w:r>
              <w:rPr>
                <w:noProof/>
                <w:webHidden/>
              </w:rPr>
              <w:fldChar w:fldCharType="end"/>
            </w:r>
          </w:hyperlink>
        </w:p>
        <w:p w14:paraId="4F7EF0CD" w14:textId="5B1053A6"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46" w:history="1">
            <w:r w:rsidRPr="006222FB">
              <w:rPr>
                <w:rStyle w:val="Hyperlink"/>
                <w:noProof/>
              </w:rPr>
              <w:t>5. BASELINE VALUES FOR LOGFRAME INDICATORS</w:t>
            </w:r>
            <w:r>
              <w:rPr>
                <w:noProof/>
                <w:webHidden/>
              </w:rPr>
              <w:tab/>
            </w:r>
            <w:r>
              <w:rPr>
                <w:noProof/>
                <w:webHidden/>
              </w:rPr>
              <w:fldChar w:fldCharType="begin"/>
            </w:r>
            <w:r>
              <w:rPr>
                <w:noProof/>
                <w:webHidden/>
              </w:rPr>
              <w:instrText xml:space="preserve"> PAGEREF _Toc207390346 \h </w:instrText>
            </w:r>
            <w:r>
              <w:rPr>
                <w:noProof/>
                <w:webHidden/>
              </w:rPr>
            </w:r>
            <w:r>
              <w:rPr>
                <w:noProof/>
                <w:webHidden/>
              </w:rPr>
              <w:fldChar w:fldCharType="separate"/>
            </w:r>
            <w:r>
              <w:rPr>
                <w:noProof/>
                <w:webHidden/>
              </w:rPr>
              <w:t>44</w:t>
            </w:r>
            <w:r>
              <w:rPr>
                <w:noProof/>
                <w:webHidden/>
              </w:rPr>
              <w:fldChar w:fldCharType="end"/>
            </w:r>
          </w:hyperlink>
        </w:p>
        <w:p w14:paraId="53E8C0AA" w14:textId="0F01B182"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47" w:history="1">
            <w:r w:rsidRPr="006222FB">
              <w:rPr>
                <w:rStyle w:val="Hyperlink"/>
                <w:noProof/>
              </w:rPr>
              <w:t>Participation and Inclusion Across LGAs</w:t>
            </w:r>
            <w:r>
              <w:rPr>
                <w:noProof/>
                <w:webHidden/>
              </w:rPr>
              <w:tab/>
            </w:r>
            <w:r>
              <w:rPr>
                <w:noProof/>
                <w:webHidden/>
              </w:rPr>
              <w:fldChar w:fldCharType="begin"/>
            </w:r>
            <w:r>
              <w:rPr>
                <w:noProof/>
                <w:webHidden/>
              </w:rPr>
              <w:instrText xml:space="preserve"> PAGEREF _Toc207390347 \h </w:instrText>
            </w:r>
            <w:r>
              <w:rPr>
                <w:noProof/>
                <w:webHidden/>
              </w:rPr>
            </w:r>
            <w:r>
              <w:rPr>
                <w:noProof/>
                <w:webHidden/>
              </w:rPr>
              <w:fldChar w:fldCharType="separate"/>
            </w:r>
            <w:r>
              <w:rPr>
                <w:noProof/>
                <w:webHidden/>
              </w:rPr>
              <w:t>44</w:t>
            </w:r>
            <w:r>
              <w:rPr>
                <w:noProof/>
                <w:webHidden/>
              </w:rPr>
              <w:fldChar w:fldCharType="end"/>
            </w:r>
          </w:hyperlink>
        </w:p>
        <w:p w14:paraId="23340B95" w14:textId="5528E8FE"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8" w:history="1">
            <w:r w:rsidRPr="006222FB">
              <w:rPr>
                <w:rStyle w:val="Hyperlink"/>
                <w:noProof/>
              </w:rPr>
              <w:t>Stakeholder Participation in Governance (Indicator 1.1.1)</w:t>
            </w:r>
            <w:r>
              <w:rPr>
                <w:noProof/>
                <w:webHidden/>
              </w:rPr>
              <w:tab/>
            </w:r>
            <w:r>
              <w:rPr>
                <w:noProof/>
                <w:webHidden/>
              </w:rPr>
              <w:fldChar w:fldCharType="begin"/>
            </w:r>
            <w:r>
              <w:rPr>
                <w:noProof/>
                <w:webHidden/>
              </w:rPr>
              <w:instrText xml:space="preserve"> PAGEREF _Toc207390348 \h </w:instrText>
            </w:r>
            <w:r>
              <w:rPr>
                <w:noProof/>
                <w:webHidden/>
              </w:rPr>
            </w:r>
            <w:r>
              <w:rPr>
                <w:noProof/>
                <w:webHidden/>
              </w:rPr>
              <w:fldChar w:fldCharType="separate"/>
            </w:r>
            <w:r>
              <w:rPr>
                <w:noProof/>
                <w:webHidden/>
              </w:rPr>
              <w:t>44</w:t>
            </w:r>
            <w:r>
              <w:rPr>
                <w:noProof/>
                <w:webHidden/>
              </w:rPr>
              <w:fldChar w:fldCharType="end"/>
            </w:r>
          </w:hyperlink>
        </w:p>
        <w:p w14:paraId="1EAD1418" w14:textId="3298A0E2"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49" w:history="1">
            <w:r w:rsidRPr="006222FB">
              <w:rPr>
                <w:rStyle w:val="Hyperlink"/>
                <w:noProof/>
              </w:rPr>
              <w:t>Inclusion of Vulnerable Groups (Indicators 1.1.2 and 1.1.3)</w:t>
            </w:r>
            <w:r>
              <w:rPr>
                <w:noProof/>
                <w:webHidden/>
              </w:rPr>
              <w:tab/>
            </w:r>
            <w:r>
              <w:rPr>
                <w:noProof/>
                <w:webHidden/>
              </w:rPr>
              <w:fldChar w:fldCharType="begin"/>
            </w:r>
            <w:r>
              <w:rPr>
                <w:noProof/>
                <w:webHidden/>
              </w:rPr>
              <w:instrText xml:space="preserve"> PAGEREF _Toc207390349 \h </w:instrText>
            </w:r>
            <w:r>
              <w:rPr>
                <w:noProof/>
                <w:webHidden/>
              </w:rPr>
            </w:r>
            <w:r>
              <w:rPr>
                <w:noProof/>
                <w:webHidden/>
              </w:rPr>
              <w:fldChar w:fldCharType="separate"/>
            </w:r>
            <w:r>
              <w:rPr>
                <w:noProof/>
                <w:webHidden/>
              </w:rPr>
              <w:t>45</w:t>
            </w:r>
            <w:r>
              <w:rPr>
                <w:noProof/>
                <w:webHidden/>
              </w:rPr>
              <w:fldChar w:fldCharType="end"/>
            </w:r>
          </w:hyperlink>
        </w:p>
        <w:p w14:paraId="70E8A2B3" w14:textId="2F802A4C"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50" w:history="1">
            <w:r w:rsidRPr="006222FB">
              <w:rPr>
                <w:rStyle w:val="Hyperlink"/>
                <w:noProof/>
              </w:rPr>
              <w:t>Monitoring and Accountability (Indicators 2.1.1 and 2.1.2)</w:t>
            </w:r>
            <w:r>
              <w:rPr>
                <w:noProof/>
                <w:webHidden/>
              </w:rPr>
              <w:tab/>
            </w:r>
            <w:r>
              <w:rPr>
                <w:noProof/>
                <w:webHidden/>
              </w:rPr>
              <w:fldChar w:fldCharType="begin"/>
            </w:r>
            <w:r>
              <w:rPr>
                <w:noProof/>
                <w:webHidden/>
              </w:rPr>
              <w:instrText xml:space="preserve"> PAGEREF _Toc207390350 \h </w:instrText>
            </w:r>
            <w:r>
              <w:rPr>
                <w:noProof/>
                <w:webHidden/>
              </w:rPr>
            </w:r>
            <w:r>
              <w:rPr>
                <w:noProof/>
                <w:webHidden/>
              </w:rPr>
              <w:fldChar w:fldCharType="separate"/>
            </w:r>
            <w:r>
              <w:rPr>
                <w:noProof/>
                <w:webHidden/>
              </w:rPr>
              <w:t>45</w:t>
            </w:r>
            <w:r>
              <w:rPr>
                <w:noProof/>
                <w:webHidden/>
              </w:rPr>
              <w:fldChar w:fldCharType="end"/>
            </w:r>
          </w:hyperlink>
        </w:p>
        <w:p w14:paraId="27B69FE5" w14:textId="4A7B0905" w:rsidR="008633AD" w:rsidRDefault="008633AD">
          <w:pPr>
            <w:pStyle w:val="TOC3"/>
            <w:tabs>
              <w:tab w:val="right" w:leader="dot" w:pos="9016"/>
            </w:tabs>
            <w:rPr>
              <w:rFonts w:asciiTheme="minorHAnsi" w:eastAsiaTheme="minorEastAsia" w:hAnsiTheme="minorHAnsi" w:cstheme="minorBidi"/>
              <w:noProof/>
              <w:kern w:val="2"/>
              <w14:ligatures w14:val="standardContextual"/>
            </w:rPr>
          </w:pPr>
          <w:hyperlink w:anchor="_Toc207390351" w:history="1">
            <w:r w:rsidRPr="006222FB">
              <w:rPr>
                <w:rStyle w:val="Hyperlink"/>
                <w:noProof/>
              </w:rPr>
              <w:t>Key Implications</w:t>
            </w:r>
            <w:r>
              <w:rPr>
                <w:noProof/>
                <w:webHidden/>
              </w:rPr>
              <w:tab/>
            </w:r>
            <w:r>
              <w:rPr>
                <w:noProof/>
                <w:webHidden/>
              </w:rPr>
              <w:fldChar w:fldCharType="begin"/>
            </w:r>
            <w:r>
              <w:rPr>
                <w:noProof/>
                <w:webHidden/>
              </w:rPr>
              <w:instrText xml:space="preserve"> PAGEREF _Toc207390351 \h </w:instrText>
            </w:r>
            <w:r>
              <w:rPr>
                <w:noProof/>
                <w:webHidden/>
              </w:rPr>
            </w:r>
            <w:r>
              <w:rPr>
                <w:noProof/>
                <w:webHidden/>
              </w:rPr>
              <w:fldChar w:fldCharType="separate"/>
            </w:r>
            <w:r>
              <w:rPr>
                <w:noProof/>
                <w:webHidden/>
              </w:rPr>
              <w:t>45</w:t>
            </w:r>
            <w:r>
              <w:rPr>
                <w:noProof/>
                <w:webHidden/>
              </w:rPr>
              <w:fldChar w:fldCharType="end"/>
            </w:r>
          </w:hyperlink>
        </w:p>
        <w:p w14:paraId="2420D934" w14:textId="7D560A5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2" w:history="1">
            <w:r w:rsidRPr="006222FB">
              <w:rPr>
                <w:rStyle w:val="Hyperlink"/>
                <w:noProof/>
              </w:rPr>
              <w:t>5.1 Indicators</w:t>
            </w:r>
            <w:r>
              <w:rPr>
                <w:noProof/>
                <w:webHidden/>
              </w:rPr>
              <w:tab/>
            </w:r>
            <w:r>
              <w:rPr>
                <w:noProof/>
                <w:webHidden/>
              </w:rPr>
              <w:fldChar w:fldCharType="begin"/>
            </w:r>
            <w:r>
              <w:rPr>
                <w:noProof/>
                <w:webHidden/>
              </w:rPr>
              <w:instrText xml:space="preserve"> PAGEREF _Toc207390352 \h </w:instrText>
            </w:r>
            <w:r>
              <w:rPr>
                <w:noProof/>
                <w:webHidden/>
              </w:rPr>
            </w:r>
            <w:r>
              <w:rPr>
                <w:noProof/>
                <w:webHidden/>
              </w:rPr>
              <w:fldChar w:fldCharType="separate"/>
            </w:r>
            <w:r>
              <w:rPr>
                <w:noProof/>
                <w:webHidden/>
              </w:rPr>
              <w:t>0</w:t>
            </w:r>
            <w:r>
              <w:rPr>
                <w:noProof/>
                <w:webHidden/>
              </w:rPr>
              <w:fldChar w:fldCharType="end"/>
            </w:r>
          </w:hyperlink>
        </w:p>
        <w:p w14:paraId="1B395E89" w14:textId="12DB7E11"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53" w:history="1">
            <w:r w:rsidRPr="006222FB">
              <w:rPr>
                <w:rStyle w:val="Hyperlink"/>
                <w:noProof/>
              </w:rPr>
              <w:t>6. CONCLUSION</w:t>
            </w:r>
            <w:r>
              <w:rPr>
                <w:noProof/>
                <w:webHidden/>
              </w:rPr>
              <w:tab/>
            </w:r>
            <w:r>
              <w:rPr>
                <w:noProof/>
                <w:webHidden/>
              </w:rPr>
              <w:fldChar w:fldCharType="begin"/>
            </w:r>
            <w:r>
              <w:rPr>
                <w:noProof/>
                <w:webHidden/>
              </w:rPr>
              <w:instrText xml:space="preserve"> PAGEREF _Toc207390353 \h </w:instrText>
            </w:r>
            <w:r>
              <w:rPr>
                <w:noProof/>
                <w:webHidden/>
              </w:rPr>
            </w:r>
            <w:r>
              <w:rPr>
                <w:noProof/>
                <w:webHidden/>
              </w:rPr>
              <w:fldChar w:fldCharType="separate"/>
            </w:r>
            <w:r>
              <w:rPr>
                <w:noProof/>
                <w:webHidden/>
              </w:rPr>
              <w:t>0</w:t>
            </w:r>
            <w:r>
              <w:rPr>
                <w:noProof/>
                <w:webHidden/>
              </w:rPr>
              <w:fldChar w:fldCharType="end"/>
            </w:r>
          </w:hyperlink>
        </w:p>
        <w:p w14:paraId="02EC5B8E" w14:textId="0EAAD1C0"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4" w:history="1">
            <w:r w:rsidRPr="006222FB">
              <w:rPr>
                <w:rStyle w:val="Hyperlink"/>
                <w:noProof/>
              </w:rPr>
              <w:t>6.1 Summary of Core Findings</w:t>
            </w:r>
            <w:r>
              <w:rPr>
                <w:noProof/>
                <w:webHidden/>
              </w:rPr>
              <w:tab/>
            </w:r>
            <w:r>
              <w:rPr>
                <w:noProof/>
                <w:webHidden/>
              </w:rPr>
              <w:fldChar w:fldCharType="begin"/>
            </w:r>
            <w:r>
              <w:rPr>
                <w:noProof/>
                <w:webHidden/>
              </w:rPr>
              <w:instrText xml:space="preserve"> PAGEREF _Toc207390354 \h </w:instrText>
            </w:r>
            <w:r>
              <w:rPr>
                <w:noProof/>
                <w:webHidden/>
              </w:rPr>
            </w:r>
            <w:r>
              <w:rPr>
                <w:noProof/>
                <w:webHidden/>
              </w:rPr>
              <w:fldChar w:fldCharType="separate"/>
            </w:r>
            <w:r>
              <w:rPr>
                <w:noProof/>
                <w:webHidden/>
              </w:rPr>
              <w:t>0</w:t>
            </w:r>
            <w:r>
              <w:rPr>
                <w:noProof/>
                <w:webHidden/>
              </w:rPr>
              <w:fldChar w:fldCharType="end"/>
            </w:r>
          </w:hyperlink>
        </w:p>
        <w:p w14:paraId="40810963" w14:textId="305C72AF"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5" w:history="1">
            <w:r w:rsidRPr="006222FB">
              <w:rPr>
                <w:rStyle w:val="Hyperlink"/>
                <w:noProof/>
              </w:rPr>
              <w:t>6.2 What the Findings Mean for CDP Implementation</w:t>
            </w:r>
            <w:r>
              <w:rPr>
                <w:noProof/>
                <w:webHidden/>
              </w:rPr>
              <w:tab/>
            </w:r>
            <w:r>
              <w:rPr>
                <w:noProof/>
                <w:webHidden/>
              </w:rPr>
              <w:fldChar w:fldCharType="begin"/>
            </w:r>
            <w:r>
              <w:rPr>
                <w:noProof/>
                <w:webHidden/>
              </w:rPr>
              <w:instrText xml:space="preserve"> PAGEREF _Toc207390355 \h </w:instrText>
            </w:r>
            <w:r>
              <w:rPr>
                <w:noProof/>
                <w:webHidden/>
              </w:rPr>
            </w:r>
            <w:r>
              <w:rPr>
                <w:noProof/>
                <w:webHidden/>
              </w:rPr>
              <w:fldChar w:fldCharType="separate"/>
            </w:r>
            <w:r>
              <w:rPr>
                <w:noProof/>
                <w:webHidden/>
              </w:rPr>
              <w:t>0</w:t>
            </w:r>
            <w:r>
              <w:rPr>
                <w:noProof/>
                <w:webHidden/>
              </w:rPr>
              <w:fldChar w:fldCharType="end"/>
            </w:r>
          </w:hyperlink>
        </w:p>
        <w:p w14:paraId="3151FAA7" w14:textId="0992D7B2"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6" w:history="1">
            <w:r w:rsidRPr="006222FB">
              <w:rPr>
                <w:rStyle w:val="Hyperlink"/>
                <w:noProof/>
              </w:rPr>
              <w:t>6.3 Readiness, Risks, and Institutional Gaps</w:t>
            </w:r>
            <w:r>
              <w:rPr>
                <w:noProof/>
                <w:webHidden/>
              </w:rPr>
              <w:tab/>
            </w:r>
            <w:r>
              <w:rPr>
                <w:noProof/>
                <w:webHidden/>
              </w:rPr>
              <w:fldChar w:fldCharType="begin"/>
            </w:r>
            <w:r>
              <w:rPr>
                <w:noProof/>
                <w:webHidden/>
              </w:rPr>
              <w:instrText xml:space="preserve"> PAGEREF _Toc207390356 \h </w:instrText>
            </w:r>
            <w:r>
              <w:rPr>
                <w:noProof/>
                <w:webHidden/>
              </w:rPr>
            </w:r>
            <w:r>
              <w:rPr>
                <w:noProof/>
                <w:webHidden/>
              </w:rPr>
              <w:fldChar w:fldCharType="separate"/>
            </w:r>
            <w:r>
              <w:rPr>
                <w:noProof/>
                <w:webHidden/>
              </w:rPr>
              <w:t>0</w:t>
            </w:r>
            <w:r>
              <w:rPr>
                <w:noProof/>
                <w:webHidden/>
              </w:rPr>
              <w:fldChar w:fldCharType="end"/>
            </w:r>
          </w:hyperlink>
        </w:p>
        <w:p w14:paraId="3109A16D" w14:textId="26B4451B"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57" w:history="1">
            <w:r w:rsidRPr="006222FB">
              <w:rPr>
                <w:rStyle w:val="Hyperlink"/>
                <w:noProof/>
              </w:rPr>
              <w:t>7. RECOMMENDATIONS</w:t>
            </w:r>
            <w:r>
              <w:rPr>
                <w:noProof/>
                <w:webHidden/>
              </w:rPr>
              <w:tab/>
            </w:r>
            <w:r>
              <w:rPr>
                <w:noProof/>
                <w:webHidden/>
              </w:rPr>
              <w:fldChar w:fldCharType="begin"/>
            </w:r>
            <w:r>
              <w:rPr>
                <w:noProof/>
                <w:webHidden/>
              </w:rPr>
              <w:instrText xml:space="preserve"> PAGEREF _Toc207390357 \h </w:instrText>
            </w:r>
            <w:r>
              <w:rPr>
                <w:noProof/>
                <w:webHidden/>
              </w:rPr>
            </w:r>
            <w:r>
              <w:rPr>
                <w:noProof/>
                <w:webHidden/>
              </w:rPr>
              <w:fldChar w:fldCharType="separate"/>
            </w:r>
            <w:r>
              <w:rPr>
                <w:noProof/>
                <w:webHidden/>
              </w:rPr>
              <w:t>1</w:t>
            </w:r>
            <w:r>
              <w:rPr>
                <w:noProof/>
                <w:webHidden/>
              </w:rPr>
              <w:fldChar w:fldCharType="end"/>
            </w:r>
          </w:hyperlink>
        </w:p>
        <w:p w14:paraId="59829462" w14:textId="649A5451"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8" w:history="1">
            <w:r w:rsidRPr="006222FB">
              <w:rPr>
                <w:rStyle w:val="Hyperlink"/>
                <w:noProof/>
              </w:rPr>
              <w:t>7.1 Deepen Inclusive Participation and Representation</w:t>
            </w:r>
            <w:r>
              <w:rPr>
                <w:noProof/>
                <w:webHidden/>
              </w:rPr>
              <w:tab/>
            </w:r>
            <w:r>
              <w:rPr>
                <w:noProof/>
                <w:webHidden/>
              </w:rPr>
              <w:fldChar w:fldCharType="begin"/>
            </w:r>
            <w:r>
              <w:rPr>
                <w:noProof/>
                <w:webHidden/>
              </w:rPr>
              <w:instrText xml:space="preserve"> PAGEREF _Toc207390358 \h </w:instrText>
            </w:r>
            <w:r>
              <w:rPr>
                <w:noProof/>
                <w:webHidden/>
              </w:rPr>
            </w:r>
            <w:r>
              <w:rPr>
                <w:noProof/>
                <w:webHidden/>
              </w:rPr>
              <w:fldChar w:fldCharType="separate"/>
            </w:r>
            <w:r>
              <w:rPr>
                <w:noProof/>
                <w:webHidden/>
              </w:rPr>
              <w:t>1</w:t>
            </w:r>
            <w:r>
              <w:rPr>
                <w:noProof/>
                <w:webHidden/>
              </w:rPr>
              <w:fldChar w:fldCharType="end"/>
            </w:r>
          </w:hyperlink>
        </w:p>
        <w:p w14:paraId="01835FE1" w14:textId="42EB93BC"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59" w:history="1">
            <w:r w:rsidRPr="006222FB">
              <w:rPr>
                <w:rStyle w:val="Hyperlink"/>
                <w:noProof/>
              </w:rPr>
              <w:t>7.2 Strengthen Feedback Loops and Local Accountability</w:t>
            </w:r>
            <w:r>
              <w:rPr>
                <w:noProof/>
                <w:webHidden/>
              </w:rPr>
              <w:tab/>
            </w:r>
            <w:r>
              <w:rPr>
                <w:noProof/>
                <w:webHidden/>
              </w:rPr>
              <w:fldChar w:fldCharType="begin"/>
            </w:r>
            <w:r>
              <w:rPr>
                <w:noProof/>
                <w:webHidden/>
              </w:rPr>
              <w:instrText xml:space="preserve"> PAGEREF _Toc207390359 \h </w:instrText>
            </w:r>
            <w:r>
              <w:rPr>
                <w:noProof/>
                <w:webHidden/>
              </w:rPr>
            </w:r>
            <w:r>
              <w:rPr>
                <w:noProof/>
                <w:webHidden/>
              </w:rPr>
              <w:fldChar w:fldCharType="separate"/>
            </w:r>
            <w:r>
              <w:rPr>
                <w:noProof/>
                <w:webHidden/>
              </w:rPr>
              <w:t>1</w:t>
            </w:r>
            <w:r>
              <w:rPr>
                <w:noProof/>
                <w:webHidden/>
              </w:rPr>
              <w:fldChar w:fldCharType="end"/>
            </w:r>
          </w:hyperlink>
        </w:p>
        <w:p w14:paraId="2801D9E9" w14:textId="3532142E"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60" w:history="1">
            <w:r w:rsidRPr="006222FB">
              <w:rPr>
                <w:rStyle w:val="Hyperlink"/>
                <w:noProof/>
              </w:rPr>
              <w:t>7.3 Reduce Elite Capture and Unequal Power Relations</w:t>
            </w:r>
            <w:r>
              <w:rPr>
                <w:noProof/>
                <w:webHidden/>
              </w:rPr>
              <w:tab/>
            </w:r>
            <w:r>
              <w:rPr>
                <w:noProof/>
                <w:webHidden/>
              </w:rPr>
              <w:fldChar w:fldCharType="begin"/>
            </w:r>
            <w:r>
              <w:rPr>
                <w:noProof/>
                <w:webHidden/>
              </w:rPr>
              <w:instrText xml:space="preserve"> PAGEREF _Toc207390360 \h </w:instrText>
            </w:r>
            <w:r>
              <w:rPr>
                <w:noProof/>
                <w:webHidden/>
              </w:rPr>
            </w:r>
            <w:r>
              <w:rPr>
                <w:noProof/>
                <w:webHidden/>
              </w:rPr>
              <w:fldChar w:fldCharType="separate"/>
            </w:r>
            <w:r>
              <w:rPr>
                <w:noProof/>
                <w:webHidden/>
              </w:rPr>
              <w:t>2</w:t>
            </w:r>
            <w:r>
              <w:rPr>
                <w:noProof/>
                <w:webHidden/>
              </w:rPr>
              <w:fldChar w:fldCharType="end"/>
            </w:r>
          </w:hyperlink>
        </w:p>
        <w:p w14:paraId="6A1188B3" w14:textId="04FA168B"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61" w:history="1">
            <w:r w:rsidRPr="006222FB">
              <w:rPr>
                <w:rStyle w:val="Hyperlink"/>
                <w:noProof/>
              </w:rPr>
              <w:t>7.4 Align CDP Priorities with Local Budgeting Processes</w:t>
            </w:r>
            <w:r>
              <w:rPr>
                <w:noProof/>
                <w:webHidden/>
              </w:rPr>
              <w:tab/>
            </w:r>
            <w:r>
              <w:rPr>
                <w:noProof/>
                <w:webHidden/>
              </w:rPr>
              <w:fldChar w:fldCharType="begin"/>
            </w:r>
            <w:r>
              <w:rPr>
                <w:noProof/>
                <w:webHidden/>
              </w:rPr>
              <w:instrText xml:space="preserve"> PAGEREF _Toc207390361 \h </w:instrText>
            </w:r>
            <w:r>
              <w:rPr>
                <w:noProof/>
                <w:webHidden/>
              </w:rPr>
            </w:r>
            <w:r>
              <w:rPr>
                <w:noProof/>
                <w:webHidden/>
              </w:rPr>
              <w:fldChar w:fldCharType="separate"/>
            </w:r>
            <w:r>
              <w:rPr>
                <w:noProof/>
                <w:webHidden/>
              </w:rPr>
              <w:t>2</w:t>
            </w:r>
            <w:r>
              <w:rPr>
                <w:noProof/>
                <w:webHidden/>
              </w:rPr>
              <w:fldChar w:fldCharType="end"/>
            </w:r>
          </w:hyperlink>
        </w:p>
        <w:p w14:paraId="3DB62431" w14:textId="62968F10"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62" w:history="1">
            <w:r w:rsidRPr="006222FB">
              <w:rPr>
                <w:rStyle w:val="Hyperlink"/>
                <w:noProof/>
              </w:rPr>
              <w:t>7.5 Leverage Local Structures for Implementation</w:t>
            </w:r>
            <w:r>
              <w:rPr>
                <w:noProof/>
                <w:webHidden/>
              </w:rPr>
              <w:tab/>
            </w:r>
            <w:r>
              <w:rPr>
                <w:noProof/>
                <w:webHidden/>
              </w:rPr>
              <w:fldChar w:fldCharType="begin"/>
            </w:r>
            <w:r>
              <w:rPr>
                <w:noProof/>
                <w:webHidden/>
              </w:rPr>
              <w:instrText xml:space="preserve"> PAGEREF _Toc207390362 \h </w:instrText>
            </w:r>
            <w:r>
              <w:rPr>
                <w:noProof/>
                <w:webHidden/>
              </w:rPr>
            </w:r>
            <w:r>
              <w:rPr>
                <w:noProof/>
                <w:webHidden/>
              </w:rPr>
              <w:fldChar w:fldCharType="separate"/>
            </w:r>
            <w:r>
              <w:rPr>
                <w:noProof/>
                <w:webHidden/>
              </w:rPr>
              <w:t>2</w:t>
            </w:r>
            <w:r>
              <w:rPr>
                <w:noProof/>
                <w:webHidden/>
              </w:rPr>
              <w:fldChar w:fldCharType="end"/>
            </w:r>
          </w:hyperlink>
        </w:p>
        <w:p w14:paraId="0F972FD7" w14:textId="74ECB5AA"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63" w:history="1">
            <w:r w:rsidRPr="006222FB">
              <w:rPr>
                <w:rStyle w:val="Hyperlink"/>
                <w:noProof/>
              </w:rPr>
              <w:t>7.6 Institutionalise Risk Mitigation within CDP Structures</w:t>
            </w:r>
            <w:r>
              <w:rPr>
                <w:noProof/>
                <w:webHidden/>
              </w:rPr>
              <w:tab/>
            </w:r>
            <w:r>
              <w:rPr>
                <w:noProof/>
                <w:webHidden/>
              </w:rPr>
              <w:fldChar w:fldCharType="begin"/>
            </w:r>
            <w:r>
              <w:rPr>
                <w:noProof/>
                <w:webHidden/>
              </w:rPr>
              <w:instrText xml:space="preserve"> PAGEREF _Toc207390363 \h </w:instrText>
            </w:r>
            <w:r>
              <w:rPr>
                <w:noProof/>
                <w:webHidden/>
              </w:rPr>
            </w:r>
            <w:r>
              <w:rPr>
                <w:noProof/>
                <w:webHidden/>
              </w:rPr>
              <w:fldChar w:fldCharType="separate"/>
            </w:r>
            <w:r>
              <w:rPr>
                <w:noProof/>
                <w:webHidden/>
              </w:rPr>
              <w:t>3</w:t>
            </w:r>
            <w:r>
              <w:rPr>
                <w:noProof/>
                <w:webHidden/>
              </w:rPr>
              <w:fldChar w:fldCharType="end"/>
            </w:r>
          </w:hyperlink>
        </w:p>
        <w:p w14:paraId="3612FBE2" w14:textId="458364CF" w:rsidR="008633AD" w:rsidRDefault="008633AD">
          <w:pPr>
            <w:pStyle w:val="TOC2"/>
            <w:tabs>
              <w:tab w:val="right" w:leader="dot" w:pos="9016"/>
            </w:tabs>
            <w:rPr>
              <w:rFonts w:asciiTheme="minorHAnsi" w:eastAsiaTheme="minorEastAsia" w:hAnsiTheme="minorHAnsi" w:cstheme="minorBidi"/>
              <w:noProof/>
              <w:kern w:val="2"/>
              <w14:ligatures w14:val="standardContextual"/>
            </w:rPr>
          </w:pPr>
          <w:hyperlink w:anchor="_Toc207390364" w:history="1">
            <w:r w:rsidRPr="006222FB">
              <w:rPr>
                <w:rStyle w:val="Hyperlink"/>
                <w:noProof/>
              </w:rPr>
              <w:t>7.7 Align CDPs with Broader Development Frameworks and Services</w:t>
            </w:r>
            <w:r>
              <w:rPr>
                <w:noProof/>
                <w:webHidden/>
              </w:rPr>
              <w:tab/>
            </w:r>
            <w:r>
              <w:rPr>
                <w:noProof/>
                <w:webHidden/>
              </w:rPr>
              <w:fldChar w:fldCharType="begin"/>
            </w:r>
            <w:r>
              <w:rPr>
                <w:noProof/>
                <w:webHidden/>
              </w:rPr>
              <w:instrText xml:space="preserve"> PAGEREF _Toc207390364 \h </w:instrText>
            </w:r>
            <w:r>
              <w:rPr>
                <w:noProof/>
                <w:webHidden/>
              </w:rPr>
            </w:r>
            <w:r>
              <w:rPr>
                <w:noProof/>
                <w:webHidden/>
              </w:rPr>
              <w:fldChar w:fldCharType="separate"/>
            </w:r>
            <w:r>
              <w:rPr>
                <w:noProof/>
                <w:webHidden/>
              </w:rPr>
              <w:t>3</w:t>
            </w:r>
            <w:r>
              <w:rPr>
                <w:noProof/>
                <w:webHidden/>
              </w:rPr>
              <w:fldChar w:fldCharType="end"/>
            </w:r>
          </w:hyperlink>
        </w:p>
        <w:p w14:paraId="1155F076" w14:textId="2D0A8455" w:rsidR="008633AD" w:rsidRDefault="008633AD">
          <w:pPr>
            <w:pStyle w:val="TOC1"/>
            <w:tabs>
              <w:tab w:val="right" w:leader="dot" w:pos="9016"/>
            </w:tabs>
            <w:rPr>
              <w:rFonts w:asciiTheme="minorHAnsi" w:eastAsiaTheme="minorEastAsia" w:hAnsiTheme="minorHAnsi" w:cstheme="minorBidi"/>
              <w:noProof/>
              <w:kern w:val="2"/>
              <w14:ligatures w14:val="standardContextual"/>
            </w:rPr>
          </w:pPr>
          <w:hyperlink w:anchor="_Toc207390365" w:history="1">
            <w:r w:rsidRPr="006222FB">
              <w:rPr>
                <w:rStyle w:val="Hyperlink"/>
                <w:noProof/>
              </w:rPr>
              <w:t>References</w:t>
            </w:r>
            <w:r>
              <w:rPr>
                <w:noProof/>
                <w:webHidden/>
              </w:rPr>
              <w:tab/>
            </w:r>
            <w:r>
              <w:rPr>
                <w:noProof/>
                <w:webHidden/>
              </w:rPr>
              <w:fldChar w:fldCharType="begin"/>
            </w:r>
            <w:r>
              <w:rPr>
                <w:noProof/>
                <w:webHidden/>
              </w:rPr>
              <w:instrText xml:space="preserve"> PAGEREF _Toc207390365 \h </w:instrText>
            </w:r>
            <w:r>
              <w:rPr>
                <w:noProof/>
                <w:webHidden/>
              </w:rPr>
            </w:r>
            <w:r>
              <w:rPr>
                <w:noProof/>
                <w:webHidden/>
              </w:rPr>
              <w:fldChar w:fldCharType="separate"/>
            </w:r>
            <w:r>
              <w:rPr>
                <w:noProof/>
                <w:webHidden/>
              </w:rPr>
              <w:t>4</w:t>
            </w:r>
            <w:r>
              <w:rPr>
                <w:noProof/>
                <w:webHidden/>
              </w:rPr>
              <w:fldChar w:fldCharType="end"/>
            </w:r>
          </w:hyperlink>
        </w:p>
        <w:p w14:paraId="0000009C" w14:textId="4FE2F327" w:rsidR="00D84B93" w:rsidRDefault="00AC6398" w:rsidP="00D372E4">
          <w:pPr>
            <w:spacing w:after="0" w:line="240" w:lineRule="auto"/>
          </w:pPr>
          <w:r w:rsidRPr="00D372E4">
            <w:fldChar w:fldCharType="end"/>
          </w:r>
        </w:p>
      </w:sdtContent>
    </w:sdt>
    <w:p w14:paraId="0000009D" w14:textId="77777777" w:rsidR="00D84B93" w:rsidRDefault="00D84B93"/>
    <w:p w14:paraId="0000009E" w14:textId="77777777" w:rsidR="00D84B93" w:rsidRDefault="00D84B93"/>
    <w:p w14:paraId="0000009F" w14:textId="69E04C1F" w:rsidR="00D84B93" w:rsidRDefault="00AC6398">
      <w:pPr>
        <w:pStyle w:val="Heading1"/>
      </w:pPr>
      <w:bookmarkStart w:id="9" w:name="_Toc207390299"/>
      <w:r>
        <w:t>ACRONYMS</w:t>
      </w:r>
      <w:bookmarkEnd w:id="9"/>
    </w:p>
    <w:tbl>
      <w:tblPr>
        <w:tblStyle w:val="2"/>
        <w:tblW w:w="90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55"/>
        <w:gridCol w:w="7461"/>
      </w:tblGrid>
      <w:tr w:rsidR="00D84B93" w14:paraId="43A36D5B" w14:textId="77777777" w:rsidTr="42DD4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0"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 xml:space="preserve">ACRONYM </w:t>
            </w:r>
          </w:p>
        </w:tc>
        <w:tc>
          <w:tcPr>
            <w:tcW w:w="7461" w:type="dxa"/>
            <w:shd w:val="clear" w:color="auto" w:fill="44841A"/>
          </w:tcPr>
          <w:p w14:paraId="000000A1" w14:textId="77777777" w:rsidR="00D84B93" w:rsidRDefault="00AC6398">
            <w:pP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FFFFFF"/>
                <w:sz w:val="24"/>
                <w:szCs w:val="24"/>
              </w:rPr>
            </w:pPr>
            <w:r>
              <w:rPr>
                <w:rFonts w:ascii="Garamond" w:eastAsia="Garamond" w:hAnsi="Garamond" w:cs="Garamond"/>
                <w:color w:val="FFFFFF"/>
                <w:sz w:val="24"/>
                <w:szCs w:val="24"/>
              </w:rPr>
              <w:t xml:space="preserve">Full Meaning </w:t>
            </w:r>
          </w:p>
        </w:tc>
      </w:tr>
      <w:tr w:rsidR="00D84B93" w14:paraId="6FA70483"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2"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BMZ</w:t>
            </w:r>
          </w:p>
        </w:tc>
        <w:tc>
          <w:tcPr>
            <w:tcW w:w="7461" w:type="dxa"/>
          </w:tcPr>
          <w:p w14:paraId="000000A3"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proofErr w:type="spellStart"/>
            <w:r>
              <w:rPr>
                <w:rFonts w:ascii="Garamond" w:eastAsia="Garamond" w:hAnsi="Garamond" w:cs="Garamond"/>
                <w:sz w:val="24"/>
                <w:szCs w:val="24"/>
              </w:rPr>
              <w:t>Bundesministerium</w:t>
            </w:r>
            <w:proofErr w:type="spellEnd"/>
            <w:r>
              <w:rPr>
                <w:rFonts w:ascii="Garamond" w:eastAsia="Garamond" w:hAnsi="Garamond" w:cs="Garamond"/>
                <w:sz w:val="24"/>
                <w:szCs w:val="24"/>
              </w:rPr>
              <w:t xml:space="preserve"> für </w:t>
            </w:r>
            <w:proofErr w:type="spellStart"/>
            <w:r>
              <w:rPr>
                <w:rFonts w:ascii="Garamond" w:eastAsia="Garamond" w:hAnsi="Garamond" w:cs="Garamond"/>
                <w:sz w:val="24"/>
                <w:szCs w:val="24"/>
              </w:rPr>
              <w:t>wirtschaftliche</w:t>
            </w:r>
            <w:proofErr w:type="spellEnd"/>
            <w:r>
              <w:rPr>
                <w:rFonts w:ascii="Garamond" w:eastAsia="Garamond" w:hAnsi="Garamond" w:cs="Garamond"/>
                <w:sz w:val="24"/>
                <w:szCs w:val="24"/>
              </w:rPr>
              <w:t xml:space="preserve"> Zusammenarbeit und </w:t>
            </w:r>
            <w:proofErr w:type="spellStart"/>
            <w:r>
              <w:rPr>
                <w:rFonts w:ascii="Garamond" w:eastAsia="Garamond" w:hAnsi="Garamond" w:cs="Garamond"/>
                <w:sz w:val="24"/>
                <w:szCs w:val="24"/>
              </w:rPr>
              <w:t>Entwicklung</w:t>
            </w:r>
            <w:proofErr w:type="spellEnd"/>
            <w:r>
              <w:rPr>
                <w:rFonts w:ascii="Garamond" w:eastAsia="Garamond" w:hAnsi="Garamond" w:cs="Garamond"/>
                <w:sz w:val="24"/>
                <w:szCs w:val="24"/>
              </w:rPr>
              <w:t xml:space="preserve"> (Federal Ministry for Economic Cooperation and Development – Germany)</w:t>
            </w:r>
          </w:p>
        </w:tc>
      </w:tr>
      <w:tr w:rsidR="00D84B93" w14:paraId="7565083A"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4"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CAG</w:t>
            </w:r>
          </w:p>
        </w:tc>
        <w:tc>
          <w:tcPr>
            <w:tcW w:w="7461" w:type="dxa"/>
          </w:tcPr>
          <w:p w14:paraId="000000A5"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Community Action Group</w:t>
            </w:r>
          </w:p>
        </w:tc>
      </w:tr>
      <w:tr w:rsidR="00D84B93" w14:paraId="3FF995FA"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6"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CBO</w:t>
            </w:r>
          </w:p>
        </w:tc>
        <w:tc>
          <w:tcPr>
            <w:tcW w:w="7461" w:type="dxa"/>
          </w:tcPr>
          <w:p w14:paraId="000000A7"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Community-Based Organisation</w:t>
            </w:r>
          </w:p>
        </w:tc>
      </w:tr>
      <w:tr w:rsidR="00D84B93" w14:paraId="59CEE30F"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8" w14:textId="786B29DD" w:rsidR="00D84B93" w:rsidRDefault="00AC6398">
            <w:pPr>
              <w:rPr>
                <w:rFonts w:ascii="Garamond" w:eastAsia="Garamond" w:hAnsi="Garamond" w:cs="Garamond"/>
                <w:sz w:val="24"/>
                <w:szCs w:val="24"/>
              </w:rPr>
            </w:pPr>
            <w:r w:rsidRPr="00DA1D8D">
              <w:rPr>
                <w:rFonts w:ascii="Garamond" w:eastAsia="Garamond" w:hAnsi="Garamond" w:cs="Garamond"/>
                <w:color w:val="FFFFFF" w:themeColor="background1"/>
                <w:sz w:val="24"/>
                <w:szCs w:val="24"/>
              </w:rPr>
              <w:t>CDA</w:t>
            </w:r>
          </w:p>
        </w:tc>
        <w:tc>
          <w:tcPr>
            <w:tcW w:w="7461" w:type="dxa"/>
          </w:tcPr>
          <w:p w14:paraId="000000A9" w14:textId="42320CDB"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 xml:space="preserve">Community Development Association </w:t>
            </w:r>
          </w:p>
        </w:tc>
      </w:tr>
      <w:tr w:rsidR="00D84B93" w14:paraId="48AEB20A"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A"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CDP</w:t>
            </w:r>
          </w:p>
        </w:tc>
        <w:tc>
          <w:tcPr>
            <w:tcW w:w="7461" w:type="dxa"/>
          </w:tcPr>
          <w:p w14:paraId="000000AB"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Community Development Planning</w:t>
            </w:r>
          </w:p>
        </w:tc>
      </w:tr>
      <w:tr w:rsidR="00D84B93" w14:paraId="70F1050B"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C"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CEPP</w:t>
            </w:r>
          </w:p>
        </w:tc>
        <w:tc>
          <w:tcPr>
            <w:tcW w:w="7461" w:type="dxa"/>
          </w:tcPr>
          <w:p w14:paraId="000000AD" w14:textId="0E51BD06" w:rsidR="00D84B93" w:rsidRDefault="42DD44A1">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sidRPr="42DD44A1">
              <w:rPr>
                <w:rFonts w:ascii="Garamond" w:eastAsia="Garamond" w:hAnsi="Garamond" w:cs="Garamond"/>
                <w:sz w:val="24"/>
                <w:szCs w:val="24"/>
              </w:rPr>
              <w:t>Citizen Engagement and Participatory Planning Policy (Adamawa State)</w:t>
            </w:r>
          </w:p>
        </w:tc>
      </w:tr>
      <w:tr w:rsidR="00D84B93" w14:paraId="695B67E9"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AE"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CRADI</w:t>
            </w:r>
          </w:p>
        </w:tc>
        <w:tc>
          <w:tcPr>
            <w:tcW w:w="7461" w:type="dxa"/>
          </w:tcPr>
          <w:p w14:paraId="000000AF"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Crest Research and Development Institute</w:t>
            </w:r>
          </w:p>
        </w:tc>
      </w:tr>
      <w:tr w:rsidR="00D84B93" w14:paraId="72AE4BA7"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0"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CSO</w:t>
            </w:r>
          </w:p>
        </w:tc>
        <w:tc>
          <w:tcPr>
            <w:tcW w:w="7461" w:type="dxa"/>
          </w:tcPr>
          <w:p w14:paraId="000000B1"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Civil Society Organisation</w:t>
            </w:r>
          </w:p>
        </w:tc>
      </w:tr>
      <w:tr w:rsidR="00D84B93" w14:paraId="23994918"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2"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EU</w:t>
            </w:r>
          </w:p>
        </w:tc>
        <w:tc>
          <w:tcPr>
            <w:tcW w:w="7461" w:type="dxa"/>
          </w:tcPr>
          <w:p w14:paraId="000000B3"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European Union</w:t>
            </w:r>
          </w:p>
        </w:tc>
      </w:tr>
      <w:tr w:rsidR="00D84B93" w14:paraId="4A95E846"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4"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FGD</w:t>
            </w:r>
          </w:p>
        </w:tc>
        <w:tc>
          <w:tcPr>
            <w:tcW w:w="7461" w:type="dxa"/>
          </w:tcPr>
          <w:p w14:paraId="000000B5"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Focus Group Discussion</w:t>
            </w:r>
          </w:p>
        </w:tc>
      </w:tr>
      <w:tr w:rsidR="00D84B93" w14:paraId="73FC9500"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6"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GIZ</w:t>
            </w:r>
          </w:p>
        </w:tc>
        <w:tc>
          <w:tcPr>
            <w:tcW w:w="7461" w:type="dxa"/>
          </w:tcPr>
          <w:p w14:paraId="000000B7"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Deutsche Gesellschaft für Internationale Zusammenarbeit (German Agency for International Cooperation)</w:t>
            </w:r>
          </w:p>
        </w:tc>
      </w:tr>
      <w:tr w:rsidR="00D84B93" w14:paraId="4DAA95E7"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8" w14:textId="53783C84"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IDPs</w:t>
            </w:r>
          </w:p>
        </w:tc>
        <w:tc>
          <w:tcPr>
            <w:tcW w:w="7461" w:type="dxa"/>
          </w:tcPr>
          <w:p w14:paraId="000000B9" w14:textId="7C119A2F"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Internally Displaced Persons</w:t>
            </w:r>
          </w:p>
        </w:tc>
      </w:tr>
      <w:tr w:rsidR="00D84B93" w14:paraId="2445A832"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A"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KII</w:t>
            </w:r>
          </w:p>
        </w:tc>
        <w:tc>
          <w:tcPr>
            <w:tcW w:w="7461" w:type="dxa"/>
          </w:tcPr>
          <w:p w14:paraId="000000BB"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Key Informant Interview</w:t>
            </w:r>
          </w:p>
        </w:tc>
      </w:tr>
      <w:tr w:rsidR="00D84B93" w14:paraId="1F524182"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C"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LGA</w:t>
            </w:r>
          </w:p>
        </w:tc>
        <w:tc>
          <w:tcPr>
            <w:tcW w:w="7461" w:type="dxa"/>
          </w:tcPr>
          <w:p w14:paraId="000000BD"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Local Government Area</w:t>
            </w:r>
          </w:p>
        </w:tc>
      </w:tr>
      <w:tr w:rsidR="00D84B93" w14:paraId="31A7ECAC"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BE"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M&amp;E</w:t>
            </w:r>
          </w:p>
        </w:tc>
        <w:tc>
          <w:tcPr>
            <w:tcW w:w="7461" w:type="dxa"/>
          </w:tcPr>
          <w:p w14:paraId="000000BF"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Monitoring and Evaluation</w:t>
            </w:r>
          </w:p>
        </w:tc>
      </w:tr>
      <w:tr w:rsidR="00D84B93" w14:paraId="122F512A"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C0"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NGO</w:t>
            </w:r>
          </w:p>
        </w:tc>
        <w:tc>
          <w:tcPr>
            <w:tcW w:w="7461" w:type="dxa"/>
          </w:tcPr>
          <w:p w14:paraId="000000C1"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Non-Governmental Organisation</w:t>
            </w:r>
          </w:p>
        </w:tc>
      </w:tr>
      <w:tr w:rsidR="00D84B93" w14:paraId="3C496118"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C2"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PWD</w:t>
            </w:r>
          </w:p>
        </w:tc>
        <w:tc>
          <w:tcPr>
            <w:tcW w:w="7461" w:type="dxa"/>
          </w:tcPr>
          <w:p w14:paraId="000000C3"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Person with Disability</w:t>
            </w:r>
          </w:p>
        </w:tc>
      </w:tr>
      <w:tr w:rsidR="00D84B93" w14:paraId="661EAF55"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C4" w14:textId="77777777" w:rsidR="00D84B93" w:rsidRDefault="00AC6398">
            <w:pPr>
              <w:rPr>
                <w:rFonts w:ascii="Garamond" w:eastAsia="Garamond" w:hAnsi="Garamond" w:cs="Garamond"/>
                <w:color w:val="FFFFFF"/>
                <w:sz w:val="24"/>
                <w:szCs w:val="24"/>
              </w:rPr>
            </w:pPr>
            <w:r>
              <w:rPr>
                <w:rFonts w:ascii="Garamond" w:eastAsia="Garamond" w:hAnsi="Garamond" w:cs="Garamond"/>
                <w:color w:val="FFFFFF"/>
                <w:sz w:val="24"/>
                <w:szCs w:val="24"/>
              </w:rPr>
              <w:t>SPSS</w:t>
            </w:r>
          </w:p>
        </w:tc>
        <w:tc>
          <w:tcPr>
            <w:tcW w:w="7461" w:type="dxa"/>
          </w:tcPr>
          <w:p w14:paraId="000000C5" w14:textId="77777777" w:rsidR="00D84B93" w:rsidRDefault="00AC6398">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Statistical Package for the Social Sciences</w:t>
            </w:r>
          </w:p>
        </w:tc>
      </w:tr>
      <w:tr w:rsidR="00D84B93" w14:paraId="65289012"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C6" w14:textId="190F6964" w:rsidR="00D84B93" w:rsidRPr="00DA1D8D" w:rsidRDefault="00AC6398">
            <w:pPr>
              <w:spacing w:after="160" w:line="276" w:lineRule="auto"/>
              <w:jc w:val="both"/>
              <w:rPr>
                <w:rFonts w:ascii="Garamond" w:eastAsia="Garamond" w:hAnsi="Garamond" w:cs="Garamond"/>
                <w:color w:val="FFFFFF" w:themeColor="background1"/>
                <w:sz w:val="24"/>
                <w:szCs w:val="24"/>
              </w:rPr>
            </w:pPr>
            <w:r w:rsidRPr="00DA1D8D">
              <w:rPr>
                <w:rFonts w:ascii="Garamond" w:eastAsia="Garamond" w:hAnsi="Garamond" w:cs="Garamond"/>
                <w:color w:val="FFFFFF" w:themeColor="background1"/>
                <w:sz w:val="24"/>
                <w:szCs w:val="24"/>
              </w:rPr>
              <w:t>UFE</w:t>
            </w:r>
          </w:p>
        </w:tc>
        <w:tc>
          <w:tcPr>
            <w:tcW w:w="7461" w:type="dxa"/>
          </w:tcPr>
          <w:p w14:paraId="000000C7" w14:textId="320586C1" w:rsidR="00D84B93" w:rsidRDefault="00AC639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Utilisation-Focused Evaluation</w:t>
            </w:r>
          </w:p>
        </w:tc>
      </w:tr>
      <w:tr w:rsidR="00D84B93" w14:paraId="4DABF36A" w14:textId="77777777" w:rsidTr="42DD44A1">
        <w:tc>
          <w:tcPr>
            <w:cnfStyle w:val="001000000000" w:firstRow="0" w:lastRow="0" w:firstColumn="1" w:lastColumn="0" w:oddVBand="0" w:evenVBand="0" w:oddHBand="0" w:evenHBand="0" w:firstRowFirstColumn="0" w:firstRowLastColumn="0" w:lastRowFirstColumn="0" w:lastRowLastColumn="0"/>
            <w:tcW w:w="1555" w:type="dxa"/>
            <w:shd w:val="clear" w:color="auto" w:fill="44841A"/>
          </w:tcPr>
          <w:p w14:paraId="000000C8" w14:textId="544D8867" w:rsidR="00D84B93" w:rsidRDefault="00AC6398">
            <w:pPr>
              <w:spacing w:after="160" w:line="276" w:lineRule="auto"/>
              <w:jc w:val="both"/>
              <w:rPr>
                <w:rFonts w:ascii="Garamond" w:eastAsia="Garamond" w:hAnsi="Garamond" w:cs="Garamond"/>
                <w:sz w:val="24"/>
                <w:szCs w:val="24"/>
              </w:rPr>
            </w:pPr>
            <w:r w:rsidRPr="00DA1D8D">
              <w:rPr>
                <w:rFonts w:ascii="Garamond" w:eastAsia="Garamond" w:hAnsi="Garamond" w:cs="Garamond"/>
                <w:color w:val="FFFFFF" w:themeColor="background1"/>
                <w:sz w:val="24"/>
                <w:szCs w:val="24"/>
              </w:rPr>
              <w:t>WASH</w:t>
            </w:r>
          </w:p>
        </w:tc>
        <w:tc>
          <w:tcPr>
            <w:tcW w:w="7461" w:type="dxa"/>
          </w:tcPr>
          <w:p w14:paraId="000000C9" w14:textId="27787C83" w:rsidR="00D84B93" w:rsidRDefault="00AC6398">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4"/>
                <w:szCs w:val="24"/>
              </w:rPr>
            </w:pPr>
            <w:r>
              <w:rPr>
                <w:rFonts w:ascii="Garamond" w:eastAsia="Garamond" w:hAnsi="Garamond" w:cs="Garamond"/>
                <w:sz w:val="24"/>
                <w:szCs w:val="24"/>
              </w:rPr>
              <w:t xml:space="preserve">Water, Sanitation, and Hygiene </w:t>
            </w:r>
          </w:p>
        </w:tc>
      </w:tr>
    </w:tbl>
    <w:p w14:paraId="37CEAEBC" w14:textId="77777777" w:rsidR="00D372E4" w:rsidRDefault="00D372E4">
      <w:pPr>
        <w:rPr>
          <w:b/>
          <w:color w:val="44841A"/>
        </w:rPr>
      </w:pPr>
      <w:r>
        <w:br w:type="page"/>
      </w:r>
    </w:p>
    <w:p w14:paraId="000000CC" w14:textId="053405C9" w:rsidR="00D84B93" w:rsidRDefault="00AC6398">
      <w:pPr>
        <w:pStyle w:val="Heading1"/>
      </w:pPr>
      <w:bookmarkStart w:id="10" w:name="_Toc207390300"/>
      <w:r>
        <w:lastRenderedPageBreak/>
        <w:t>LIST OF TABLES</w:t>
      </w:r>
      <w:bookmarkEnd w:id="10"/>
      <w:r>
        <w:t xml:space="preserve"> </w:t>
      </w:r>
    </w:p>
    <w:sdt>
      <w:sdtPr>
        <w:id w:val="-809933071"/>
        <w:docPartObj>
          <w:docPartGallery w:val="Table of Contents"/>
          <w:docPartUnique/>
        </w:docPartObj>
      </w:sdtPr>
      <w:sdtContent>
        <w:p w14:paraId="000000CD" w14:textId="77777777" w:rsidR="00D84B93" w:rsidRPr="00DA1D8D" w:rsidRDefault="00AC6398">
          <w:pPr>
            <w:pBdr>
              <w:top w:val="nil"/>
              <w:left w:val="nil"/>
              <w:bottom w:val="nil"/>
              <w:right w:val="nil"/>
              <w:between w:val="nil"/>
            </w:pBdr>
            <w:tabs>
              <w:tab w:val="right" w:pos="9016"/>
            </w:tabs>
            <w:spacing w:after="0" w:line="259" w:lineRule="auto"/>
            <w:jc w:val="left"/>
            <w:rPr>
              <w:rFonts w:eastAsia="Calibri" w:cs="Calibri"/>
              <w:color w:val="000000"/>
            </w:rPr>
          </w:pPr>
          <w:r w:rsidRPr="00DA1D8D">
            <w:fldChar w:fldCharType="begin"/>
          </w:r>
          <w:r w:rsidRPr="00DA1D8D">
            <w:instrText xml:space="preserve"> TOC \h \u \z \t "Heading 1,1,Heading 2,2,Heading 3,3,Heading 4,4,Heading 5,5,Heading 6,6,"</w:instrText>
          </w:r>
          <w:r w:rsidRPr="00DA1D8D">
            <w:fldChar w:fldCharType="separate"/>
          </w:r>
          <w:hyperlink w:anchor="_heading=h.ivww8esyp3ln">
            <w:r w:rsidRPr="00DA1D8D">
              <w:rPr>
                <w:rFonts w:eastAsia="Aptos" w:cs="Aptos"/>
                <w:color w:val="000000"/>
                <w:sz w:val="22"/>
                <w:szCs w:val="22"/>
              </w:rPr>
              <w:t>Table 1 Indicator Progress</w:t>
            </w:r>
            <w:r w:rsidRPr="00DA1D8D">
              <w:rPr>
                <w:rFonts w:eastAsia="Aptos" w:cs="Aptos"/>
                <w:color w:val="000000"/>
                <w:sz w:val="22"/>
                <w:szCs w:val="22"/>
              </w:rPr>
              <w:tab/>
              <w:t>34</w:t>
            </w:r>
          </w:hyperlink>
        </w:p>
        <w:p w14:paraId="000000CE" w14:textId="77777777" w:rsidR="00D84B93" w:rsidRPr="00DA1D8D" w:rsidRDefault="00AC6398">
          <w:r w:rsidRPr="00DA1D8D">
            <w:fldChar w:fldCharType="end"/>
          </w:r>
        </w:p>
      </w:sdtContent>
    </w:sdt>
    <w:p w14:paraId="6245FCE6" w14:textId="7E160F06" w:rsidR="00F123FA" w:rsidRDefault="00AC6398" w:rsidP="00F123FA">
      <w:pPr>
        <w:pStyle w:val="Heading1"/>
      </w:pPr>
      <w:bookmarkStart w:id="11" w:name="_Toc207390301"/>
      <w:r>
        <w:t>LIST OF FIGURES</w:t>
      </w:r>
      <w:bookmarkEnd w:id="11"/>
    </w:p>
    <w:p w14:paraId="3203E93C"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9mkqnoixje5y">
        <w:r w:rsidRPr="00BC621A">
          <w:rPr>
            <w:color w:val="000000"/>
          </w:rPr>
          <w:t>Figure 1 Demographic information of respondents</w:t>
        </w:r>
        <w:r w:rsidRPr="00BC621A">
          <w:rPr>
            <w:color w:val="000000"/>
          </w:rPr>
          <w:tab/>
          <w:t>13</w:t>
        </w:r>
      </w:hyperlink>
    </w:p>
    <w:p w14:paraId="5B1768EE"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f1wbrjoze7ji">
        <w:r w:rsidRPr="00BC621A">
          <w:rPr>
            <w:color w:val="000000"/>
          </w:rPr>
          <w:t>Figure 2 Gender distribution of respondents</w:t>
        </w:r>
        <w:r w:rsidRPr="00BC621A">
          <w:rPr>
            <w:color w:val="000000"/>
          </w:rPr>
          <w:tab/>
          <w:t>14</w:t>
        </w:r>
      </w:hyperlink>
    </w:p>
    <w:p w14:paraId="2C214CE7"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5ov8sii0nuds">
        <w:r w:rsidRPr="00BC621A">
          <w:rPr>
            <w:color w:val="000000"/>
          </w:rPr>
          <w:t>Figure 3 Percentage of persons living with disabilities</w:t>
        </w:r>
        <w:r w:rsidRPr="00BC621A">
          <w:rPr>
            <w:color w:val="000000"/>
          </w:rPr>
          <w:tab/>
          <w:t>14</w:t>
        </w:r>
      </w:hyperlink>
    </w:p>
    <w:p w14:paraId="148FF69D"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9bmgc11v8wmw">
        <w:r w:rsidRPr="00BC621A">
          <w:rPr>
            <w:color w:val="000000"/>
          </w:rPr>
          <w:t>Figure 4 Educational qualifications of respondents</w:t>
        </w:r>
        <w:r w:rsidRPr="00BC621A">
          <w:rPr>
            <w:color w:val="000000"/>
          </w:rPr>
          <w:tab/>
          <w:t>15</w:t>
        </w:r>
      </w:hyperlink>
    </w:p>
    <w:p w14:paraId="71F49D74"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fvdmpn1mnp77">
        <w:r w:rsidRPr="00BC621A">
          <w:rPr>
            <w:color w:val="000000"/>
          </w:rPr>
          <w:t>Figure 5 Respondents migration status</w:t>
        </w:r>
        <w:r w:rsidRPr="00BC621A">
          <w:rPr>
            <w:color w:val="000000"/>
          </w:rPr>
          <w:tab/>
          <w:t>16</w:t>
        </w:r>
      </w:hyperlink>
    </w:p>
    <w:p w14:paraId="504962BA"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mv6tjaxzehpm">
        <w:r w:rsidRPr="00BC621A">
          <w:rPr>
            <w:color w:val="000000"/>
          </w:rPr>
          <w:t>Figure 6 Respondents economic situation</w:t>
        </w:r>
        <w:r w:rsidRPr="00BC621A">
          <w:rPr>
            <w:color w:val="000000"/>
          </w:rPr>
          <w:tab/>
          <w:t>17</w:t>
        </w:r>
      </w:hyperlink>
    </w:p>
    <w:p w14:paraId="2A5D4F84"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alokwenmvhgw">
        <w:r w:rsidRPr="00BC621A">
          <w:rPr>
            <w:color w:val="000000"/>
          </w:rPr>
          <w:t>Figure 7 Respondents Access to Services</w:t>
        </w:r>
        <w:r w:rsidRPr="00BC621A">
          <w:rPr>
            <w:color w:val="000000"/>
          </w:rPr>
          <w:tab/>
          <w:t>21</w:t>
        </w:r>
      </w:hyperlink>
    </w:p>
    <w:p w14:paraId="58C03B8A"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xvneoksjmbk">
        <w:r w:rsidRPr="00BC621A">
          <w:rPr>
            <w:color w:val="000000"/>
          </w:rPr>
          <w:t>Figure 8 Conflict across LGAs</w:t>
        </w:r>
        <w:r w:rsidRPr="00BC621A">
          <w:rPr>
            <w:color w:val="000000"/>
          </w:rPr>
          <w:tab/>
          <w:t>23</w:t>
        </w:r>
      </w:hyperlink>
    </w:p>
    <w:p w14:paraId="61B90D00"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v4khgylgv3p5">
        <w:r w:rsidRPr="00BC621A">
          <w:rPr>
            <w:color w:val="000000"/>
          </w:rPr>
          <w:t>Figure 9 Percentage female group members</w:t>
        </w:r>
        <w:r w:rsidRPr="00BC621A">
          <w:rPr>
            <w:color w:val="000000"/>
          </w:rPr>
          <w:tab/>
          <w:t>24</w:t>
        </w:r>
      </w:hyperlink>
    </w:p>
    <w:p w14:paraId="13349A1C"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gbymj44cwoom">
        <w:r w:rsidRPr="00BC621A">
          <w:rPr>
            <w:color w:val="000000"/>
          </w:rPr>
          <w:t>Figure 10 Level of community cohesion</w:t>
        </w:r>
        <w:r w:rsidRPr="00BC621A">
          <w:rPr>
            <w:color w:val="000000"/>
          </w:rPr>
          <w:tab/>
          <w:t>28</w:t>
        </w:r>
      </w:hyperlink>
    </w:p>
    <w:p w14:paraId="6408E73B" w14:textId="77777777" w:rsidR="00F123FA" w:rsidRPr="00BC621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2npchtdjgk24">
        <w:r w:rsidRPr="00BC621A">
          <w:rPr>
            <w:color w:val="000000"/>
          </w:rPr>
          <w:t>Figure 11 Potential Socio-Political Barriers to Project Implementation</w:t>
        </w:r>
        <w:r w:rsidRPr="00BC621A">
          <w:rPr>
            <w:color w:val="000000"/>
          </w:rPr>
          <w:tab/>
          <w:t>34</w:t>
        </w:r>
      </w:hyperlink>
    </w:p>
    <w:p w14:paraId="449BB214" w14:textId="77777777" w:rsidR="00F123FA" w:rsidRDefault="00F123FA" w:rsidP="00F123FA">
      <w:pPr>
        <w:pBdr>
          <w:top w:val="nil"/>
          <w:left w:val="nil"/>
          <w:bottom w:val="nil"/>
          <w:right w:val="nil"/>
          <w:between w:val="nil"/>
        </w:pBdr>
        <w:tabs>
          <w:tab w:val="right" w:pos="9016"/>
        </w:tabs>
        <w:spacing w:after="0" w:line="259" w:lineRule="auto"/>
        <w:jc w:val="left"/>
        <w:rPr>
          <w:color w:val="000000"/>
        </w:rPr>
      </w:pPr>
      <w:hyperlink w:anchor="_heading=h.5p9bq709lt7">
        <w:r w:rsidRPr="00BC621A">
          <w:rPr>
            <w:color w:val="000000"/>
          </w:rPr>
          <w:t>Figure 12 Socio-political challenges that could affect project implementation</w:t>
        </w:r>
        <w:r w:rsidRPr="00BC621A">
          <w:rPr>
            <w:color w:val="000000"/>
          </w:rPr>
          <w:tab/>
          <w:t>40</w:t>
        </w:r>
      </w:hyperlink>
    </w:p>
    <w:p w14:paraId="000000DD" w14:textId="56DFC99A" w:rsidR="00D84B93" w:rsidRDefault="00AC6398">
      <w:pPr>
        <w:pBdr>
          <w:top w:val="nil"/>
          <w:left w:val="nil"/>
          <w:bottom w:val="nil"/>
          <w:right w:val="nil"/>
          <w:between w:val="nil"/>
        </w:pBdr>
        <w:spacing w:after="200" w:line="240" w:lineRule="auto"/>
        <w:rPr>
          <w:i/>
          <w:color w:val="44546A"/>
          <w:sz w:val="22"/>
          <w:szCs w:val="22"/>
        </w:rPr>
      </w:pPr>
      <w:r>
        <w:br w:type="page"/>
      </w:r>
    </w:p>
    <w:p w14:paraId="000000DE" w14:textId="77777777" w:rsidR="00D84B93" w:rsidRDefault="00AC6398">
      <w:pPr>
        <w:pStyle w:val="Heading1"/>
      </w:pPr>
      <w:bookmarkStart w:id="12" w:name="_Toc207390302"/>
      <w:r>
        <w:lastRenderedPageBreak/>
        <w:t>2. INTRODUCTION</w:t>
      </w:r>
      <w:bookmarkEnd w:id="12"/>
    </w:p>
    <w:p w14:paraId="000000DF" w14:textId="77777777" w:rsidR="00D84B93" w:rsidRDefault="00AC6398">
      <w:pPr>
        <w:pStyle w:val="Heading2"/>
      </w:pPr>
      <w:bookmarkStart w:id="13" w:name="_Toc207390303"/>
      <w:r>
        <w:t>2.1 Project Background</w:t>
      </w:r>
      <w:bookmarkEnd w:id="13"/>
    </w:p>
    <w:p w14:paraId="492772E9" w14:textId="77777777" w:rsidR="007C6A05" w:rsidRDefault="007C6A05" w:rsidP="007C6A05">
      <w:r>
        <w:t>Over a decade of conflict and forced displacement has left deep scars across North-Eastern Nigeria. The region, particularly Borno and Adamawa States, continues to grapple with the compounded effects of insecurity, disrupted livelihoods, and strained public services. Displacement has not only weakened community structures but also eroded trust in governance and deepened social divisions among host communities, returnees, and internally displaced persons (IDPs). These tensions are often exacerbated by competition over limited resources and inadequate service delivery systems.</w:t>
      </w:r>
      <w:r>
        <w:rPr>
          <w:vertAlign w:val="superscript"/>
        </w:rPr>
        <w:footnoteReference w:id="1"/>
      </w:r>
    </w:p>
    <w:p w14:paraId="09703202" w14:textId="1ED73C50" w:rsidR="007C6A05" w:rsidRDefault="007C6A05" w:rsidP="007C6A05">
      <w:r>
        <w:t xml:space="preserve">In response, Oxfam, in partnership with GIZ with funding from the German Federal Ministry for Economic Cooperation and Development (BMZ) and the European Union (EU), is implementing a 24-month project titled </w:t>
      </w:r>
      <w:r w:rsidRPr="485A0360">
        <w:rPr>
          <w:i/>
          <w:iCs/>
        </w:rPr>
        <w:t>“Support to Improving Social Cohesion through Community Development Planning in 3 LGAs in North-East Nigeria.”.</w:t>
      </w:r>
      <w:r>
        <w:t xml:space="preserve"> The project aims to enhance inclusive development, rebuild social cohesion, and promote accountable local governance by supporting participatory planning processes in Guyuk LGA (Adamawa State), and Biu and Kwaya Kusar LGAs (Borno State).</w:t>
      </w:r>
    </w:p>
    <w:p w14:paraId="303B36A4" w14:textId="52F8F09A" w:rsidR="007C6A05" w:rsidRDefault="007C6A05" w:rsidP="007C6A05">
      <w:r>
        <w:t xml:space="preserve">The initiative also aligns with broader national and sub-national strategies such as the Adamawa State Citizen Engagement and Participatory Planning (CEPP) </w:t>
      </w:r>
      <w:proofErr w:type="gramStart"/>
      <w:r>
        <w:t>Policy ,</w:t>
      </w:r>
      <w:proofErr w:type="gramEnd"/>
      <w:r>
        <w:t xml:space="preserve"> a pioneering framework for inclusive governance in Nigeria. The project seeks to foster greater citizen participation, ensure more equitable representation of vulnerable groups, and strengthen resilience through locally owned development solutions that ensures community-led </w:t>
      </w:r>
      <w:proofErr w:type="gramStart"/>
      <w:r>
        <w:t>planning,.</w:t>
      </w:r>
      <w:proofErr w:type="gramEnd"/>
      <w:r>
        <w:rPr>
          <w:vertAlign w:val="superscript"/>
        </w:rPr>
        <w:footnoteReference w:id="2"/>
      </w:r>
    </w:p>
    <w:p w14:paraId="6AAC0918" w14:textId="77777777" w:rsidR="007C6A05" w:rsidRDefault="007C6A05" w:rsidP="007C6A05">
      <w:pPr>
        <w:pStyle w:val="Heading2"/>
      </w:pPr>
      <w:bookmarkStart w:id="14" w:name="_Toc207390304"/>
      <w:r>
        <w:t>2.2 Purpose of the Baseline Assessment</w:t>
      </w:r>
      <w:bookmarkEnd w:id="14"/>
    </w:p>
    <w:p w14:paraId="64E5BD8D" w14:textId="77777777" w:rsidR="007C6A05" w:rsidRDefault="007C6A05" w:rsidP="007C6A05">
      <w:r>
        <w:t>The baseline assessment seeks to generate data-driven insights that will inform the design and delivery of the Community Development Planning (CDP) process, support monitoring and evaluation (M&amp;E) throughout the implementation period, and establish a reference point for tracking changes over time.</w:t>
      </w:r>
    </w:p>
    <w:p w14:paraId="5CA5B046" w14:textId="77777777" w:rsidR="007C6A05" w:rsidRDefault="007C6A05" w:rsidP="007C6A05">
      <w:r>
        <w:t>Specifically, the assessment aims to:</w:t>
      </w:r>
    </w:p>
    <w:p w14:paraId="5B685667" w14:textId="77777777" w:rsidR="007C6A05" w:rsidRDefault="007C6A05" w:rsidP="007C6A05">
      <w:pPr>
        <w:numPr>
          <w:ilvl w:val="0"/>
          <w:numId w:val="1"/>
        </w:numPr>
      </w:pPr>
      <w:r>
        <w:t xml:space="preserve">Establish baseline values for all project indicators as stated in the </w:t>
      </w:r>
      <w:proofErr w:type="spellStart"/>
      <w:r>
        <w:t>logframe</w:t>
      </w:r>
      <w:proofErr w:type="spellEnd"/>
      <w:r>
        <w:t>;</w:t>
      </w:r>
    </w:p>
    <w:p w14:paraId="4CC7999D" w14:textId="77777777" w:rsidR="007C6A05" w:rsidRDefault="007C6A05" w:rsidP="007C6A05">
      <w:pPr>
        <w:numPr>
          <w:ilvl w:val="0"/>
          <w:numId w:val="1"/>
        </w:numPr>
      </w:pPr>
      <w:r>
        <w:t>Identify social, economic, and governance-related dynamics across wards;</w:t>
      </w:r>
    </w:p>
    <w:p w14:paraId="205D00F7" w14:textId="77777777" w:rsidR="007C6A05" w:rsidRDefault="007C6A05" w:rsidP="007C6A05">
      <w:pPr>
        <w:numPr>
          <w:ilvl w:val="0"/>
          <w:numId w:val="1"/>
        </w:numPr>
      </w:pPr>
      <w:r>
        <w:t>Examine risks, power relations, and stakeholder positions that could affect community participation.</w:t>
      </w:r>
    </w:p>
    <w:p w14:paraId="2AFAD0E9" w14:textId="77777777" w:rsidR="007C6A05" w:rsidRDefault="007C6A05" w:rsidP="007C6A05">
      <w:pPr>
        <w:numPr>
          <w:ilvl w:val="0"/>
          <w:numId w:val="1"/>
        </w:numPr>
      </w:pPr>
      <w:r>
        <w:t>Inform the selection of CDP participants based on a nuanced understanding of vulnerability, inclusion, and representation.</w:t>
      </w:r>
    </w:p>
    <w:p w14:paraId="732D3190" w14:textId="77777777" w:rsidR="007C6A05" w:rsidRDefault="007C6A05" w:rsidP="007C6A05">
      <w:r>
        <w:t>The findings will help Oxfam and its partners tailor interventions to the specific needs and realities of each ward, ensuring that planning processes are inclusive, conflict-sensitive, and rooted in evidence.</w:t>
      </w:r>
    </w:p>
    <w:p w14:paraId="27D366FD" w14:textId="77777777" w:rsidR="007C6A05" w:rsidRDefault="007C6A05" w:rsidP="007C6A05">
      <w:pPr>
        <w:pStyle w:val="Heading2"/>
      </w:pPr>
      <w:bookmarkStart w:id="15" w:name="_Toc207390305"/>
      <w:r>
        <w:lastRenderedPageBreak/>
        <w:t>2.3 Scope and Geographic Coverage</w:t>
      </w:r>
      <w:bookmarkEnd w:id="15"/>
    </w:p>
    <w:p w14:paraId="7422AD2E" w14:textId="77777777" w:rsidR="007C6A05" w:rsidRDefault="007C6A05" w:rsidP="007C6A05">
      <w:r>
        <w:rPr>
          <w:noProof/>
        </w:rPr>
        <w:drawing>
          <wp:anchor distT="0" distB="0" distL="114300" distR="114300" simplePos="0" relativeHeight="251665920" behindDoc="0" locked="0" layoutInCell="1" hidden="0" allowOverlap="1" wp14:anchorId="3610A3B5" wp14:editId="37653790">
            <wp:simplePos x="0" y="0"/>
            <wp:positionH relativeFrom="column">
              <wp:posOffset>0</wp:posOffset>
            </wp:positionH>
            <wp:positionV relativeFrom="paragraph">
              <wp:posOffset>304800</wp:posOffset>
            </wp:positionV>
            <wp:extent cx="3032760" cy="3837305"/>
            <wp:effectExtent l="0" t="0" r="0" b="0"/>
            <wp:wrapSquare wrapText="bothSides" distT="0" distB="0" distL="114300" distR="114300"/>
            <wp:docPr id="2193187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032760" cy="3837305"/>
                    </a:xfrm>
                    <a:prstGeom prst="rect">
                      <a:avLst/>
                    </a:prstGeom>
                    <a:ln/>
                  </pic:spPr>
                </pic:pic>
              </a:graphicData>
            </a:graphic>
          </wp:anchor>
        </w:drawing>
      </w:r>
      <w:r>
        <w:t>The assessment was conducted across 31 wards in three Local Government Areas of Adamawa and Borno states:</w:t>
      </w:r>
    </w:p>
    <w:p w14:paraId="715AC388" w14:textId="77777777" w:rsidR="007C6A05" w:rsidRDefault="007C6A05" w:rsidP="007C6A05">
      <w:pPr>
        <w:pStyle w:val="ListParagraph"/>
        <w:numPr>
          <w:ilvl w:val="0"/>
          <w:numId w:val="20"/>
        </w:numPr>
      </w:pPr>
      <w:r w:rsidRPr="000E6ECC">
        <w:rPr>
          <w:b/>
        </w:rPr>
        <w:t>Guyuk LGA</w:t>
      </w:r>
      <w:r>
        <w:t xml:space="preserve"> (Adamawa State): 10      wards</w:t>
      </w:r>
    </w:p>
    <w:p w14:paraId="420C2221" w14:textId="77777777" w:rsidR="007C6A05" w:rsidRDefault="007C6A05" w:rsidP="007C6A05">
      <w:pPr>
        <w:numPr>
          <w:ilvl w:val="0"/>
          <w:numId w:val="2"/>
        </w:numPr>
      </w:pPr>
      <w:r>
        <w:rPr>
          <w:b/>
        </w:rPr>
        <w:t>Biu LGA</w:t>
      </w:r>
      <w:r>
        <w:t xml:space="preserve"> (Borno State): 11 wards</w:t>
      </w:r>
    </w:p>
    <w:p w14:paraId="66863137" w14:textId="77777777" w:rsidR="007C6A05" w:rsidRDefault="007C6A05" w:rsidP="007C6A05">
      <w:pPr>
        <w:numPr>
          <w:ilvl w:val="0"/>
          <w:numId w:val="2"/>
        </w:numPr>
      </w:pPr>
      <w:r>
        <w:rPr>
          <w:b/>
        </w:rPr>
        <w:t>Kwaya Kusar LGA</w:t>
      </w:r>
      <w:r>
        <w:t xml:space="preserve"> (Borno State): 10 wards</w:t>
      </w:r>
    </w:p>
    <w:p w14:paraId="451AF408" w14:textId="33AD9550" w:rsidR="007C6A05" w:rsidRPr="005E4736" w:rsidRDefault="007C6A05" w:rsidP="007C6A05">
      <w:r>
        <w:t>Data was collected using a mixed-methods approach, combining household surveys, key informant interviews (KIIs), Focus Group Discussions (FGDs), and ward-level profiling. The study engaged a broad spectrum of stakeholders, including women, youth, traditional and religious leaders, persons with disabilities, IDPs, returnees, and local authorities. This inclusive approach ensures that the assessment capture</w:t>
      </w:r>
      <w:r w:rsidR="00DC762E">
        <w:t>d</w:t>
      </w:r>
      <w:r>
        <w:t xml:space="preserve"> diverse perspectives and uncovers the nuanced realities of social cohesion, governance, and development across the LGAs.</w:t>
      </w:r>
    </w:p>
    <w:p w14:paraId="000000F2" w14:textId="77777777" w:rsidR="00D84B93" w:rsidRDefault="00AC6398">
      <w:pPr>
        <w:pStyle w:val="Heading1"/>
      </w:pPr>
      <w:bookmarkStart w:id="16" w:name="_Toc207390306"/>
      <w:r>
        <w:t>3. METHODOLOGY</w:t>
      </w:r>
      <w:bookmarkEnd w:id="16"/>
    </w:p>
    <w:p w14:paraId="000000F3" w14:textId="77777777" w:rsidR="00D84B93" w:rsidRDefault="1583FC41">
      <w:pPr>
        <w:pStyle w:val="Heading2"/>
      </w:pPr>
      <w:bookmarkStart w:id="17" w:name="_Toc207390307"/>
      <w:r>
        <w:t>3.1 Evaluation Approach</w:t>
      </w:r>
      <w:bookmarkEnd w:id="17"/>
      <w:r>
        <w:t xml:space="preserve"> </w:t>
      </w:r>
    </w:p>
    <w:p w14:paraId="000000F4" w14:textId="699CBE95" w:rsidR="00D84B93" w:rsidRDefault="00AC6398" w:rsidP="3B39D9A3">
      <w:r w:rsidRPr="3B39D9A3">
        <w:t>The assessment was guided by a Utilisation-Focused Evaluation (UFE)</w:t>
      </w:r>
      <w:r w:rsidRPr="008D45EE">
        <w:rPr>
          <w:vertAlign w:val="superscript"/>
        </w:rPr>
        <w:footnoteReference w:id="3"/>
      </w:r>
      <w:r w:rsidRPr="3B39D9A3">
        <w:t xml:space="preserve"> approach, designed to ensure the findings would directly inform decision-making, adaptive programming, and inclusive planning. This approach prioritised stakeholder relevance and practical use, aligning the research design with the needs of Oxfam, project partners, </w:t>
      </w:r>
      <w:r w:rsidR="3B39D9A3">
        <w:t xml:space="preserve">government </w:t>
      </w:r>
      <w:r w:rsidRPr="3B39D9A3">
        <w:t>and community actors.</w:t>
      </w:r>
    </w:p>
    <w:p w14:paraId="000000F5" w14:textId="3795CAAA" w:rsidR="00D84B93" w:rsidRDefault="00AC6398">
      <w:r w:rsidRPr="3B39D9A3">
        <w:t>A mixed-methods framework</w:t>
      </w:r>
      <w:r w:rsidRPr="008D45EE">
        <w:rPr>
          <w:vertAlign w:val="superscript"/>
        </w:rPr>
        <w:footnoteReference w:id="4"/>
      </w:r>
      <w:r w:rsidRPr="3B39D9A3">
        <w:t xml:space="preserve"> was adopted, integrating quantitative and qualitative techniques to explore both statistical patterns and </w:t>
      </w:r>
      <w:r w:rsidR="3B39D9A3">
        <w:t xml:space="preserve">diverse </w:t>
      </w:r>
      <w:r w:rsidRPr="3B39D9A3">
        <w:t>perspectives around social cohesion, governance participation, and community development readiness. This enabled the triangulation</w:t>
      </w:r>
      <w:r>
        <w:t xml:space="preserve"> of evidence across different stakeholder groups, enriching the reliability and contextual depth of the findings.</w:t>
      </w:r>
    </w:p>
    <w:p w14:paraId="000000F6" w14:textId="77777777" w:rsidR="00D84B93" w:rsidRDefault="00AC6398">
      <w:pPr>
        <w:pStyle w:val="Heading2"/>
      </w:pPr>
      <w:bookmarkStart w:id="18" w:name="_Toc207390308"/>
      <w:r>
        <w:t>3.2 Study Design</w:t>
      </w:r>
      <w:bookmarkEnd w:id="18"/>
    </w:p>
    <w:p w14:paraId="000000F7" w14:textId="26FD44D2" w:rsidR="00D84B93" w:rsidRDefault="00AC6398">
      <w:r>
        <w:t xml:space="preserve">The study was structured around the </w:t>
      </w:r>
      <w:r w:rsidR="00605FDA">
        <w:t xml:space="preserve">assessment </w:t>
      </w:r>
      <w:r>
        <w:t xml:space="preserve">objectives </w:t>
      </w:r>
      <w:r w:rsidR="00605FDA">
        <w:t xml:space="preserve">as </w:t>
      </w:r>
      <w:r>
        <w:t xml:space="preserve">outlined </w:t>
      </w:r>
      <w:r w:rsidR="00605FDA">
        <w:t>above</w:t>
      </w:r>
      <w:r>
        <w:t xml:space="preserve">, with tools and procedures aligned to capture information necessary for establishing baseline values and guiding </w:t>
      </w:r>
      <w:r>
        <w:lastRenderedPageBreak/>
        <w:t>the CDP phase. The design covered both macro- and micro-level analysis and was tailored to local realities in 31 wards across Guyuk, Biu, and Kwaya Kusar LGAs.</w:t>
      </w:r>
    </w:p>
    <w:p w14:paraId="000000F8" w14:textId="6CE06801" w:rsidR="00D84B93" w:rsidRDefault="3ED30A66">
      <w:r>
        <w:t>Data collection was conducted in stages, beginning with a desk review and stakeholder consultations, followed by tool development, enumerator</w:t>
      </w:r>
      <w:r w:rsidR="00210978">
        <w:t>s’</w:t>
      </w:r>
      <w:r>
        <w:t xml:space="preserve"> training, field testing</w:t>
      </w:r>
      <w:proofErr w:type="gramStart"/>
      <w:r>
        <w:t>, ,</w:t>
      </w:r>
      <w:proofErr w:type="gramEnd"/>
      <w:r>
        <w:t xml:space="preserve"> and full-scale fieldwork. The actual data collected formed the basis of this report.</w:t>
      </w:r>
    </w:p>
    <w:p w14:paraId="000000F9" w14:textId="77777777" w:rsidR="00D84B93" w:rsidRDefault="00AC6398">
      <w:pPr>
        <w:pStyle w:val="Heading2"/>
      </w:pPr>
      <w:bookmarkStart w:id="19" w:name="_Toc207390309"/>
      <w:r>
        <w:t>3.3 Sampling Strategy and Sample Size</w:t>
      </w:r>
      <w:bookmarkEnd w:id="19"/>
    </w:p>
    <w:p w14:paraId="000000FA" w14:textId="77777777" w:rsidR="00D84B93" w:rsidRDefault="00AC6398">
      <w:r>
        <w:t>A multi-stage sampling approach was employed to ensure robust and inclusive representation. This included:</w:t>
      </w:r>
    </w:p>
    <w:p w14:paraId="000000FB" w14:textId="77777777" w:rsidR="00D84B93" w:rsidRDefault="00AC6398">
      <w:pPr>
        <w:numPr>
          <w:ilvl w:val="0"/>
          <w:numId w:val="3"/>
        </w:numPr>
      </w:pPr>
      <w:r>
        <w:t>Quantitative sampling based on the 2022 population projections across the three LGAs, using proportional allocation per ward.</w:t>
      </w:r>
    </w:p>
    <w:p w14:paraId="000000FC" w14:textId="77777777" w:rsidR="00D84B93" w:rsidRDefault="00AC6398">
      <w:pPr>
        <w:numPr>
          <w:ilvl w:val="0"/>
          <w:numId w:val="3"/>
        </w:numPr>
      </w:pPr>
      <w:r>
        <w:t xml:space="preserve">A total sample </w:t>
      </w:r>
      <w:r w:rsidRPr="003D56E6">
        <w:t>of 403 respondents was</w:t>
      </w:r>
      <w:r>
        <w:t xml:space="preserve"> targeted for the household survey, derived using the </w:t>
      </w:r>
      <w:proofErr w:type="spellStart"/>
      <w:r>
        <w:t>Krejcie</w:t>
      </w:r>
      <w:proofErr w:type="spellEnd"/>
      <w:r>
        <w:t xml:space="preserve"> and Morgan (1970) formula and adjusted for a 5% non-response margin.</w:t>
      </w:r>
    </w:p>
    <w:p w14:paraId="000000FD" w14:textId="50EE50CA" w:rsidR="00D84B93" w:rsidRDefault="00AC6398">
      <w:r>
        <w:t>Respondent selection was stratified to include 60% host community members, 30% returnees, and 10% IDPs, with consideration for gender, age, and vulnerability status. For qualitative inquiry, 27 KIIs and 21 FGD’s were conducted with diverse actors, including women and youth leaders, government officials, traditional authorities, and civil society representatives.</w:t>
      </w:r>
    </w:p>
    <w:p w14:paraId="000000FE" w14:textId="77777777" w:rsidR="00D84B93" w:rsidRDefault="00AC6398">
      <w:pPr>
        <w:pStyle w:val="Heading2"/>
      </w:pPr>
      <w:bookmarkStart w:id="20" w:name="_Toc207390310"/>
      <w:r>
        <w:t>3.4 Data Collection Tools and Techniques</w:t>
      </w:r>
      <w:bookmarkEnd w:id="20"/>
    </w:p>
    <w:p w14:paraId="000000FF" w14:textId="73F8FEA3" w:rsidR="00D84B93" w:rsidRDefault="00AC6398">
      <w:r>
        <w:t xml:space="preserve">The assessment deployed digital data collection platforms: </w:t>
      </w:r>
      <w:proofErr w:type="spellStart"/>
      <w:r>
        <w:t>KoboToolbox</w:t>
      </w:r>
      <w:proofErr w:type="spellEnd"/>
      <w:r>
        <w:t xml:space="preserve"> and Google Forms</w:t>
      </w:r>
      <w:r w:rsidR="00493CB7">
        <w:t xml:space="preserve"> </w:t>
      </w:r>
      <w:r>
        <w:t>to streamline survey administration and minimise errors. Enumerators, recruited from the localities, used handheld tablets to administer structured questionnaires covering governance participation, social cohesion, service access, and stakeholder dynamics.</w:t>
      </w:r>
    </w:p>
    <w:p w14:paraId="00000100" w14:textId="77777777" w:rsidR="00D84B93" w:rsidRDefault="00AC6398">
      <w:r>
        <w:t>Qualitative tools included semi-structured interview guides tailored to explore power relations, risks to participation, and stakeholder engagement pathways. FGD’s were conducted in gender and age-segregated groups, ensuring safe and inclusive dialogue. Local language translations and culturally appropriate facilitation techniques were applied throughout.</w:t>
      </w:r>
    </w:p>
    <w:p w14:paraId="00000101" w14:textId="77777777" w:rsidR="00D84B93" w:rsidRDefault="00AC6398">
      <w:pPr>
        <w:pStyle w:val="Heading2"/>
      </w:pPr>
      <w:bookmarkStart w:id="21" w:name="_Toc207390311"/>
      <w:r>
        <w:t>3.5 Ethical Considerations and Safeguarding</w:t>
      </w:r>
      <w:bookmarkEnd w:id="21"/>
    </w:p>
    <w:p w14:paraId="00000103" w14:textId="5419986B" w:rsidR="00D84B93" w:rsidRDefault="007B5FD8">
      <w:r w:rsidRPr="007B5FD8">
        <w:t>The assessment adhered to strict ethical standards, including voluntary participation, informed consent, confidentiality, and data protection. Enumerators were trained in Do No Harm, conflict sensitivity, safeguarding, and inclusive facilitation. Community entry protocols were followed, and all respondents were clearly informed of their right to decline or withdraw at any point</w:t>
      </w:r>
      <w:r w:rsidR="6DE101B0">
        <w:t>.</w:t>
      </w:r>
    </w:p>
    <w:p w14:paraId="00000104" w14:textId="77777777" w:rsidR="00D84B93" w:rsidRDefault="00AC6398">
      <w:pPr>
        <w:pStyle w:val="Heading2"/>
      </w:pPr>
      <w:bookmarkStart w:id="22" w:name="_Toc207390312"/>
      <w:r>
        <w:t>3.6 Data Analysis Methods</w:t>
      </w:r>
      <w:bookmarkEnd w:id="22"/>
    </w:p>
    <w:p w14:paraId="00000105" w14:textId="77777777" w:rsidR="00D84B93" w:rsidRDefault="00AC6398">
      <w:r>
        <w:t>The assessment employed a combination of quantitative and qualitative data analysis techniques, leveraging both statistical and thematic approaches to generate robust, triangulated insights.</w:t>
      </w:r>
    </w:p>
    <w:p w14:paraId="00000106" w14:textId="77777777" w:rsidR="00D84B93" w:rsidRDefault="00AC6398">
      <w:r>
        <w:t>Quantitative Data Analysis</w:t>
      </w:r>
    </w:p>
    <w:p w14:paraId="00000107" w14:textId="2545EDCA" w:rsidR="00D84B93" w:rsidRDefault="3E82E96D">
      <w:r>
        <w:t xml:space="preserve">Quantitative data collected from household surveys were first downloaded and cleaned using Microsoft Power Query, ensuring internal consistency, removal of duplicates, and verification against skip logic. Cleaned datasets were imported into IBM SPSS Statistics for analysis. </w:t>
      </w:r>
      <w:r>
        <w:lastRenderedPageBreak/>
        <w:t>Descriptive statistics, including frequencies, percentages, and cross-tabulations, were computed to explore relationships across key variables such as gender, age, migration status, and geographic location.</w:t>
      </w:r>
    </w:p>
    <w:p w14:paraId="00000108" w14:textId="77777777" w:rsidR="00D84B93" w:rsidRDefault="00AC6398">
      <w:r>
        <w:t>To support clear communication of findings, visualisation was performed using Power BI, which allowed for the generation of charts and tables disaggregated by LGA, ward, gender and other variables. These visuals are included throughout the report to enhance interpretability and highlight trends relevant to the project's objectives.</w:t>
      </w:r>
    </w:p>
    <w:p w14:paraId="00000109" w14:textId="75C486CA" w:rsidR="00D84B93" w:rsidRDefault="00AC6398">
      <w:r>
        <w:t>Qualitative data from KIIs and FGDs were first transcribed and translated from local languages to English. Once standardised, transcripts were imported into MAXQDA, a software tool designed for systematic qualitative analysis. Thematic coding was conducted using both deductive codes aligned with the six objectives of the study and inductive codes that emerged from participants' narratives.</w:t>
      </w:r>
    </w:p>
    <w:p w14:paraId="0000010A" w14:textId="126036DB" w:rsidR="00D84B93" w:rsidRDefault="0F3EE325">
      <w:r>
        <w:t>Themes such as social cohesion, governance accountability, exclusion dynamics, and power relations were analysed across the dataset. Contradictions and convergences were noted to understand variations across wards. Representative quotes from respondents were presented in the findings section to add depth and to triangulate with quantitative trends.</w:t>
      </w:r>
    </w:p>
    <w:p w14:paraId="0000010B" w14:textId="6BA4CECF" w:rsidR="00D84B93" w:rsidRDefault="00AC6398">
      <w:r>
        <w:t>The integration of both datasets quantitative and qualitative was used to validate findings, uncover context-specific insights, and inform practical recommendations for the CDP process.</w:t>
      </w:r>
    </w:p>
    <w:p w14:paraId="0000010C" w14:textId="77777777" w:rsidR="00D84B93" w:rsidRDefault="00AC6398">
      <w:pPr>
        <w:pStyle w:val="Heading2"/>
      </w:pPr>
      <w:bookmarkStart w:id="23" w:name="_Toc207390313"/>
      <w:r>
        <w:t>3.7 Limitations and Mitigation Strategies</w:t>
      </w:r>
      <w:bookmarkEnd w:id="23"/>
    </w:p>
    <w:p w14:paraId="0000010D" w14:textId="77777777" w:rsidR="00D84B93" w:rsidRDefault="00AC6398">
      <w:r>
        <w:t>While the assessment was rigorously implemented, several limitations were encountered:</w:t>
      </w:r>
    </w:p>
    <w:p w14:paraId="0000010E" w14:textId="10251CE5" w:rsidR="00D84B93" w:rsidRPr="00493CB7" w:rsidRDefault="0F3EE325">
      <w:pPr>
        <w:numPr>
          <w:ilvl w:val="0"/>
          <w:numId w:val="4"/>
        </w:numPr>
      </w:pPr>
      <w:r>
        <w:t>Access constraints in remote wards occasionally delayed data collection. Buffer sampling and enumerator deployment helped mitigate this challenge.</w:t>
      </w:r>
    </w:p>
    <w:p w14:paraId="0000010F" w14:textId="77777777" w:rsidR="00D84B93" w:rsidRPr="00493CB7" w:rsidRDefault="00AC6398">
      <w:pPr>
        <w:numPr>
          <w:ilvl w:val="0"/>
          <w:numId w:val="4"/>
        </w:numPr>
        <w:rPr>
          <w:bCs/>
        </w:rPr>
      </w:pPr>
      <w:r w:rsidRPr="00493CB7">
        <w:rPr>
          <w:bCs/>
        </w:rPr>
        <w:t>Security risks in parts of Borno State required adjustments to field travel plans, which were managed through localised data collection teams and close coordination with community gatekeepers.</w:t>
      </w:r>
    </w:p>
    <w:p w14:paraId="00000110" w14:textId="77777777" w:rsidR="00D84B93" w:rsidRPr="00493CB7" w:rsidRDefault="00AC6398">
      <w:pPr>
        <w:numPr>
          <w:ilvl w:val="0"/>
          <w:numId w:val="4"/>
        </w:numPr>
        <w:rPr>
          <w:bCs/>
        </w:rPr>
      </w:pPr>
      <w:r w:rsidRPr="00493CB7">
        <w:rPr>
          <w:bCs/>
        </w:rPr>
        <w:t>Social desirability bias, particularly in governance-related questions, was addressed through careful enumerator training, neutral phrasing, and assurance of confidentiality.</w:t>
      </w:r>
    </w:p>
    <w:p w14:paraId="00000111" w14:textId="77777777" w:rsidR="00D84B93" w:rsidRPr="00493CB7" w:rsidRDefault="00AC6398">
      <w:pPr>
        <w:numPr>
          <w:ilvl w:val="0"/>
          <w:numId w:val="4"/>
        </w:numPr>
        <w:rPr>
          <w:bCs/>
        </w:rPr>
      </w:pPr>
      <w:r w:rsidRPr="00493CB7">
        <w:rPr>
          <w:bCs/>
        </w:rPr>
        <w:t>Translation variability was minimised by piloting tools in local languages and engaging multilingual field staff.</w:t>
      </w:r>
    </w:p>
    <w:p w14:paraId="00000112" w14:textId="06C01C0D" w:rsidR="00D84B93" w:rsidRDefault="00AC6398">
      <w:r>
        <w:t>Despite these constraints, the data collected met the study’s quality standards and provide</w:t>
      </w:r>
      <w:r w:rsidR="00E470DE">
        <w:t>d</w:t>
      </w:r>
      <w:r>
        <w:t xml:space="preserve"> a credible baseline for tracking progress over the project’s lifespan.</w:t>
      </w:r>
    </w:p>
    <w:p w14:paraId="5A0318BE" w14:textId="491D775E" w:rsidR="008211E7" w:rsidRDefault="008211E7" w:rsidP="008D45EE">
      <w:pPr>
        <w:pStyle w:val="Heading1"/>
      </w:pPr>
      <w:bookmarkStart w:id="24" w:name="_Toc207390314"/>
      <w:r>
        <w:t>3.8 Desk Review</w:t>
      </w:r>
      <w:bookmarkEnd w:id="24"/>
      <w:r>
        <w:t xml:space="preserve"> </w:t>
      </w:r>
    </w:p>
    <w:p w14:paraId="35FF45B0" w14:textId="2BA53D53" w:rsidR="00B62610" w:rsidRDefault="00B62610" w:rsidP="00B62610">
      <w:r>
        <w:t>To validate and enrich the baseline findings, a targeted desk review was undertaken using relevant government policies, development partner reports, and sectoral publications. This review aimed to establish alignment with ongoing initiatives, identify gaps, and explore potential collaborations to guide the Community Development Planning (CDP) process.</w:t>
      </w:r>
    </w:p>
    <w:p w14:paraId="1E5BC734" w14:textId="77777777" w:rsidR="00B62610" w:rsidRDefault="00B62610" w:rsidP="00B62610">
      <w:r>
        <w:lastRenderedPageBreak/>
        <w:t>The Borno State 25-Year Development Framework (Borno State Government, 2020) underscores persistent deficits in service delivery, particularly in rural LGAs. These issues are reflected in the baseline, where only 11% of respondents reported reliable access to safe water. Likewise, Borno's Primary Health Care Development Agency (2023) confirms that fewer than 20% of rural facilities are fully functional, aligning with concerns around healthcare access across the target LGAs. In Adamawa, the CSDP mid-term review (Nigeria Community and Social Development Project, 2023) identified severe shortfalls in water and livelihood infrastructure in LGAs such as Guyuk, echoing similar priorities captured in this baseline. Findings from the Nigeria Humanitarian Response Plan (OCHA, 2023) also prioritise WASH, education, and livelihoods across conflict-affected areas, further reinforcing the relevance of the baseline outcomes.</w:t>
      </w:r>
    </w:p>
    <w:p w14:paraId="10A7A561" w14:textId="77777777" w:rsidR="00B62610" w:rsidRDefault="00B62610" w:rsidP="00B62610">
      <w:r>
        <w:t>Governance-related findings also show strong alignment. The Adamawa State CEPP Policy (Adamawa State Government, 2021) highlights the dominance of traditional and political elites in local planning, which mirrors the baseline observation that community participation in decision-making remains low. Similarly, the Borno State Strategic Transformation Plan (Borno State Government, 2020) reports capacity gaps among Ward Development Committees, consistent with field observations in Biu and Kwaya Kusar.</w:t>
      </w:r>
    </w:p>
    <w:p w14:paraId="73B12847" w14:textId="77777777" w:rsidR="00B62610" w:rsidRDefault="00B62610" w:rsidP="00B62610">
      <w:r>
        <w:t>The review also identified ongoing programmes that may complement or inform the CDP process. Notably, the BMZ Resilience and Social Cohesion Programme (BMZ, 2025) has supported local peace platforms in southern Borno, including Biu. While BMZ activities are largely limited to Biu, the lessons offer relevant insights for Guyuk and Kwaya Kusar, which face similar cohesion and governance challenges. GIZ's stabilisation efforts (GIZ, 2020), which integrate traditional leadership into governance processes, align with baseline data from Kwaya Kusar showing high community trust in traditional authorities, presenting a strategic entry point for CDP implementation.</w:t>
      </w:r>
    </w:p>
    <w:p w14:paraId="6B821F7D" w14:textId="71DE7F08" w:rsidR="00B62610" w:rsidRDefault="00B62610" w:rsidP="00B62610">
      <w:r>
        <w:t>On inclusion, the baseline's findings on persons with disabilities (PWDs) are supported by Agora Policy's (2024) report, which highlights widespread inaccessibility of infrastructure and limited PWD participation in planning processes. The CDP approach offers an opportunity to address these challenges by promoting PWD representation on CDP committees, prioritising inclusive infrastructure, and engaging bodies such as the NCPWD and LASODA for technical guidance.</w:t>
      </w:r>
    </w:p>
    <w:p w14:paraId="46ED999C" w14:textId="1300E502" w:rsidR="00B62610" w:rsidRDefault="00B62610" w:rsidP="00B62610">
      <w:r>
        <w:t>While most secondary sources affirmed the baseline's findings, some additional gaps were noted. For example, external reports dr</w:t>
      </w:r>
      <w:r w:rsidR="00413802">
        <w:t>e</w:t>
      </w:r>
      <w:r>
        <w:t>w more attention to structural weaknesses in public financial management and inter-agency coordination—factors that may affect the responsiveness of CDP plans unless addressed through targeted advocacy and stakeholder engagement</w:t>
      </w:r>
      <w:r w:rsidR="00521274">
        <w:t xml:space="preserve"> (UNDP, 2025)</w:t>
      </w:r>
      <w:r>
        <w:t>.</w:t>
      </w:r>
    </w:p>
    <w:p w14:paraId="0A7921ED" w14:textId="28FA2106" w:rsidR="008211E7" w:rsidRPr="008211E7" w:rsidRDefault="00521274" w:rsidP="00B62610">
      <w:r>
        <w:t>T</w:t>
      </w:r>
      <w:r w:rsidR="00B62610">
        <w:t>he desk review confirms the relevance of the baseline data while broadening the understanding of contextual risks, gaps, and partnership opportunities. Integrating lessons from past and ongoing efforts will strengthen the effectiveness of the CDP process and help ensure alignment with state priorities, minimise duplication, and support long-term sustainability</w:t>
      </w:r>
      <w:r w:rsidR="008211E7">
        <w:t>.</w:t>
      </w:r>
    </w:p>
    <w:p w14:paraId="00000113" w14:textId="77777777" w:rsidR="00D84B93" w:rsidRDefault="00AC6398">
      <w:r>
        <w:br w:type="page"/>
      </w:r>
    </w:p>
    <w:p w14:paraId="00000114" w14:textId="784DC5FB" w:rsidR="00D84B93" w:rsidRDefault="00AC6398">
      <w:pPr>
        <w:pStyle w:val="Heading1"/>
      </w:pPr>
      <w:bookmarkStart w:id="25" w:name="_Toc207390315"/>
      <w:r>
        <w:lastRenderedPageBreak/>
        <w:t>4. FINDINGS</w:t>
      </w:r>
      <w:bookmarkEnd w:id="25"/>
    </w:p>
    <w:p w14:paraId="00000115" w14:textId="68AC5B2D" w:rsidR="00D84B93" w:rsidRDefault="008132CC">
      <w:pPr>
        <w:pStyle w:val="Heading2"/>
      </w:pPr>
      <w:bookmarkStart w:id="26" w:name="_Toc207390316"/>
      <w:r>
        <w:rPr>
          <w:noProof/>
        </w:rPr>
        <w:drawing>
          <wp:anchor distT="0" distB="0" distL="114300" distR="114300" simplePos="0" relativeHeight="251650560" behindDoc="0" locked="0" layoutInCell="1" allowOverlap="1" wp14:anchorId="6E539562" wp14:editId="3732B8DF">
            <wp:simplePos x="0" y="0"/>
            <wp:positionH relativeFrom="margin">
              <wp:align>left</wp:align>
            </wp:positionH>
            <wp:positionV relativeFrom="paragraph">
              <wp:posOffset>92075</wp:posOffset>
            </wp:positionV>
            <wp:extent cx="3147060" cy="4262755"/>
            <wp:effectExtent l="0" t="0" r="0" b="4445"/>
            <wp:wrapSquare wrapText="bothSides"/>
            <wp:docPr id="101334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3967"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147060" cy="4262755"/>
                    </a:xfrm>
                    <a:prstGeom prst="rect">
                      <a:avLst/>
                    </a:prstGeom>
                  </pic:spPr>
                </pic:pic>
              </a:graphicData>
            </a:graphic>
            <wp14:sizeRelH relativeFrom="margin">
              <wp14:pctWidth>0</wp14:pctWidth>
            </wp14:sizeRelH>
            <wp14:sizeRelV relativeFrom="margin">
              <wp14:pctHeight>0</wp14:pctHeight>
            </wp14:sizeRelV>
          </wp:anchor>
        </w:drawing>
      </w:r>
      <w:r w:rsidR="4A050642">
        <w:t>4.1 Demography</w:t>
      </w:r>
      <w:bookmarkEnd w:id="26"/>
      <w:r w:rsidR="4A050642">
        <w:t xml:space="preserve"> </w:t>
      </w:r>
    </w:p>
    <w:p w14:paraId="00000116" w14:textId="245E3FBE" w:rsidR="00D84B93" w:rsidRDefault="55C167A3">
      <w:r>
        <w:t>The baseline assessment captured responses from 436 participants, systematically sampled across 31 wards in three Local Government Areas (LGAs) in northeastern Nigeria</w:t>
      </w:r>
      <w:r w:rsidR="001112C1">
        <w:t>.</w:t>
      </w:r>
      <w:r w:rsidR="001112C1" w:rsidRPr="001112C1">
        <w:t xml:space="preserve"> </w:t>
      </w:r>
      <w:r w:rsidR="001112C1">
        <w:t>T</w:t>
      </w:r>
      <w:r w:rsidR="001112C1" w:rsidRPr="001112C1">
        <w:t>he distribution of respondents was done proportionate to the population size of each LGA, ensuring fairness and representativeness. Specifically, 207 respondents were surveyed in Guyuk</w:t>
      </w:r>
      <w:r w:rsidR="00B00673">
        <w:t xml:space="preserve"> </w:t>
      </w:r>
      <w:r>
        <w:t>(Adamawa State), 170 in Biu, and 59 in Kwaya Kusar (both in Borno State). This surpassed the initial target</w:t>
      </w:r>
      <w:r w:rsidR="001112C1">
        <w:t xml:space="preserve"> of 40</w:t>
      </w:r>
      <w:r w:rsidR="005A5B29">
        <w:t>3</w:t>
      </w:r>
      <w:r w:rsidR="001112C1">
        <w:t xml:space="preserve"> respondents</w:t>
      </w:r>
      <w:r>
        <w:t>, improving the study's statistical reliability and ensuring broader demographic and geographic representation. </w:t>
      </w:r>
    </w:p>
    <w:p w14:paraId="00000117" w14:textId="7EA087E1" w:rsidR="00D84B93" w:rsidRDefault="00AC6398">
      <w:pPr>
        <w:pStyle w:val="Heading3"/>
      </w:pPr>
      <w:bookmarkStart w:id="27" w:name="_Toc207390317"/>
      <w:r>
        <w:t xml:space="preserve">4.1.1 </w:t>
      </w:r>
      <w:r w:rsidR="00D45D9D">
        <w:t>Marital Status of Respondents</w:t>
      </w:r>
      <w:bookmarkEnd w:id="27"/>
      <w:r w:rsidR="00D45D9D">
        <w:t xml:space="preserve"> </w:t>
      </w:r>
    </w:p>
    <w:p w14:paraId="75704148" w14:textId="378865FF" w:rsidR="00341EBB" w:rsidRDefault="00D00EB7" w:rsidP="00341EBB">
      <w:r>
        <w:rPr>
          <w:noProof/>
        </w:rPr>
        <mc:AlternateContent>
          <mc:Choice Requires="wps">
            <w:drawing>
              <wp:anchor distT="0" distB="0" distL="114300" distR="114300" simplePos="0" relativeHeight="251667968" behindDoc="0" locked="0" layoutInCell="1" allowOverlap="1" wp14:anchorId="1E96F241" wp14:editId="17DB173B">
                <wp:simplePos x="0" y="0"/>
                <wp:positionH relativeFrom="margin">
                  <wp:posOffset>91440</wp:posOffset>
                </wp:positionH>
                <wp:positionV relativeFrom="paragraph">
                  <wp:posOffset>563245</wp:posOffset>
                </wp:positionV>
                <wp:extent cx="2237740" cy="635"/>
                <wp:effectExtent l="0" t="0" r="0" b="0"/>
                <wp:wrapSquare wrapText="bothSides"/>
                <wp:docPr id="272822437" name="Text Box 1"/>
                <wp:cNvGraphicFramePr/>
                <a:graphic xmlns:a="http://schemas.openxmlformats.org/drawingml/2006/main">
                  <a:graphicData uri="http://schemas.microsoft.com/office/word/2010/wordprocessingShape">
                    <wps:wsp>
                      <wps:cNvSpPr txBox="1"/>
                      <wps:spPr>
                        <a:xfrm>
                          <a:off x="0" y="0"/>
                          <a:ext cx="2237740" cy="635"/>
                        </a:xfrm>
                        <a:prstGeom prst="rect">
                          <a:avLst/>
                        </a:prstGeom>
                        <a:solidFill>
                          <a:prstClr val="white"/>
                        </a:solidFill>
                        <a:ln>
                          <a:noFill/>
                        </a:ln>
                      </wps:spPr>
                      <wps:txbx>
                        <w:txbxContent>
                          <w:p w14:paraId="3BC5B74D" w14:textId="57FE5AB2" w:rsidR="00D00EB7" w:rsidRPr="00D00EB7" w:rsidRDefault="00D00EB7" w:rsidP="00D00EB7">
                            <w:pPr>
                              <w:pStyle w:val="Caption"/>
                              <w:rPr>
                                <w:noProof/>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1</w:t>
                            </w:r>
                            <w:r w:rsidRPr="00D00EB7">
                              <w:rPr>
                                <w:sz w:val="16"/>
                                <w:szCs w:val="16"/>
                              </w:rPr>
                              <w:fldChar w:fldCharType="end"/>
                            </w:r>
                            <w:r w:rsidRPr="00D00EB7">
                              <w:rPr>
                                <w:sz w:val="16"/>
                                <w:szCs w:val="16"/>
                              </w:rPr>
                              <w:t xml:space="preserve"> </w:t>
                            </w:r>
                            <w:bookmarkStart w:id="28" w:name="_Hlk202458488"/>
                            <w:bookmarkStart w:id="29" w:name="_Hlk202458489"/>
                            <w:bookmarkStart w:id="30" w:name="_Hlk202458503"/>
                            <w:bookmarkStart w:id="31" w:name="_Hlk202458504"/>
                            <w:r w:rsidRPr="00D00EB7">
                              <w:rPr>
                                <w:sz w:val="16"/>
                                <w:szCs w:val="16"/>
                              </w:rPr>
                              <w:t>Demographic information of respondents</w:t>
                            </w:r>
                            <w:bookmarkEnd w:id="28"/>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E96F241" id="_x0000_t202" coordsize="21600,21600" o:spt="202" path="m,l,21600r21600,l21600,xe">
                <v:stroke joinstyle="miter"/>
                <v:path gradientshapeok="t" o:connecttype="rect"/>
              </v:shapetype>
              <v:shape id="Text Box 1" o:spid="_x0000_s1026" type="#_x0000_t202" style="position:absolute;left:0;text-align:left;margin-left:7.2pt;margin-top:44.35pt;width:176.2pt;height:.05pt;z-index:251667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" stroked="f">
                <v:textbox style="mso-fit-shape-to-text:t" inset="0,0,0,0">
                  <w:txbxContent>
                    <w:p w14:paraId="3BC5B74D" w14:textId="57FE5AB2" w:rsidR="00D00EB7" w:rsidRPr="00D00EB7" w:rsidRDefault="00D00EB7" w:rsidP="00D00EB7">
                      <w:pPr>
                        <w:pStyle w:val="Caption"/>
                        <w:rPr>
                          <w:noProof/>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1</w:t>
                      </w:r>
                      <w:r w:rsidRPr="00D00EB7">
                        <w:rPr>
                          <w:sz w:val="16"/>
                          <w:szCs w:val="16"/>
                        </w:rPr>
                        <w:fldChar w:fldCharType="end"/>
                      </w:r>
                      <w:r w:rsidRPr="00D00EB7">
                        <w:rPr>
                          <w:sz w:val="16"/>
                          <w:szCs w:val="16"/>
                        </w:rPr>
                        <w:t xml:space="preserve"> </w:t>
                      </w:r>
                      <w:bookmarkStart w:id="32" w:name="_Hlk202458488"/>
                      <w:bookmarkStart w:id="33" w:name="_Hlk202458489"/>
                      <w:bookmarkStart w:id="34" w:name="_Hlk202458503"/>
                      <w:bookmarkStart w:id="35" w:name="_Hlk202458504"/>
                      <w:r w:rsidRPr="00D00EB7">
                        <w:rPr>
                          <w:sz w:val="16"/>
                          <w:szCs w:val="16"/>
                        </w:rPr>
                        <w:t>Demographic information of respondents</w:t>
                      </w:r>
                      <w:bookmarkEnd w:id="32"/>
                      <w:bookmarkEnd w:id="33"/>
                      <w:bookmarkEnd w:id="34"/>
                      <w:bookmarkEnd w:id="35"/>
                    </w:p>
                  </w:txbxContent>
                </v:textbox>
                <w10:wrap type="square" anchorx="margin"/>
              </v:shape>
            </w:pict>
          </mc:Fallback>
        </mc:AlternateContent>
      </w:r>
      <w:r w:rsidR="00341EBB">
        <w:t xml:space="preserve">The data shows that 79% of respondents </w:t>
      </w:r>
      <w:r w:rsidR="00C75C74">
        <w:t>we</w:t>
      </w:r>
      <w:r w:rsidR="00341EBB">
        <w:t xml:space="preserve">re married, confirming marriage as the most common marital status across the project area. 11% </w:t>
      </w:r>
      <w:r w:rsidR="00C75C74">
        <w:t>we</w:t>
      </w:r>
      <w:r w:rsidR="00341EBB">
        <w:t xml:space="preserve">re single, reflecting the proportion of individuals yet to marry. 6% reported being widowed, while 3% </w:t>
      </w:r>
      <w:r w:rsidR="00C75C74">
        <w:t>we</w:t>
      </w:r>
      <w:r w:rsidR="00341EBB">
        <w:t xml:space="preserve">re divorced, and 1% </w:t>
      </w:r>
      <w:r w:rsidR="00C75C74">
        <w:t>we</w:t>
      </w:r>
      <w:r w:rsidR="00341EBB">
        <w:t>re separated. No respondent preferred not to disclose their marital status.</w:t>
      </w:r>
    </w:p>
    <w:p w14:paraId="38C6C045" w14:textId="7CAC5024" w:rsidR="00D45D9D" w:rsidRDefault="00341EBB" w:rsidP="00341EBB">
      <w:r>
        <w:t xml:space="preserve">Across the three LGAs, slight variations were observed. In Biu, 75% of respondents </w:t>
      </w:r>
      <w:r w:rsidR="006B2F33">
        <w:t>we</w:t>
      </w:r>
      <w:r>
        <w:t xml:space="preserve">re married, 11% </w:t>
      </w:r>
      <w:r w:rsidR="006B2F33">
        <w:t>we</w:t>
      </w:r>
      <w:r>
        <w:t xml:space="preserve">re single, 9% </w:t>
      </w:r>
      <w:r w:rsidR="006B2F33">
        <w:t>we</w:t>
      </w:r>
      <w:r>
        <w:t xml:space="preserve">re widowed, 5% </w:t>
      </w:r>
      <w:r w:rsidR="006B2F33">
        <w:t>we</w:t>
      </w:r>
      <w:r>
        <w:t xml:space="preserve">re divorced, and no cases of separation were reported. In Guyuk, 81% </w:t>
      </w:r>
      <w:r w:rsidR="006B2F33">
        <w:t>we</w:t>
      </w:r>
      <w:r>
        <w:t xml:space="preserve">re married, 11% </w:t>
      </w:r>
      <w:r w:rsidR="006B2F33">
        <w:t>we</w:t>
      </w:r>
      <w:r>
        <w:t xml:space="preserve">re single, 4% </w:t>
      </w:r>
      <w:r w:rsidR="006B2F33">
        <w:t>we</w:t>
      </w:r>
      <w:r>
        <w:t xml:space="preserve">re widowed, 2% </w:t>
      </w:r>
      <w:r w:rsidR="006B2F33">
        <w:t>we</w:t>
      </w:r>
      <w:r>
        <w:t xml:space="preserve">re divorced, and 2% </w:t>
      </w:r>
      <w:r w:rsidR="00511F7B">
        <w:t>we</w:t>
      </w:r>
      <w:r>
        <w:t xml:space="preserve">re separated. In Kwaya Kusar, marriage remains most dominant at 83%, 10% </w:t>
      </w:r>
      <w:r w:rsidR="00511F7B">
        <w:t>we</w:t>
      </w:r>
      <w:r>
        <w:t xml:space="preserve">re single, 7% </w:t>
      </w:r>
      <w:r w:rsidR="00511F7B">
        <w:t>we</w:t>
      </w:r>
      <w:r>
        <w:t>re widowed, with no reports of divorce or separation.</w:t>
      </w:r>
    </w:p>
    <w:p w14:paraId="4629EEDB" w14:textId="146DD482" w:rsidR="54920CFB" w:rsidRDefault="6C4CCD62" w:rsidP="008D45EE">
      <w:pPr>
        <w:pStyle w:val="Heading3"/>
      </w:pPr>
      <w:bookmarkStart w:id="36" w:name="_Toc207390318"/>
      <w:r>
        <w:t>4.1.2 Age Composition</w:t>
      </w:r>
      <w:bookmarkEnd w:id="36"/>
      <w:r>
        <w:t xml:space="preserve"> </w:t>
      </w:r>
    </w:p>
    <w:p w14:paraId="78005C95" w14:textId="547E2A3C" w:rsidR="00341EBB" w:rsidRDefault="00341EBB" w:rsidP="00341EBB">
      <w:r>
        <w:t>The age distribution across the project area shows that the majority of respondents are within the 30–44 years (Young Adults) category, accounting for 44% of the total sample. 31% fall within the 45–59 years (Middle-Aged Adults) group, while 17% are 18–29 years (Youth). The smallest proportion, 8%, are Older Adults aged 60 and above.</w:t>
      </w:r>
    </w:p>
    <w:p w14:paraId="178AEF4F" w14:textId="798B7294" w:rsidR="00D45D9D" w:rsidRDefault="00341EBB" w:rsidP="00341EBB">
      <w:r>
        <w:t xml:space="preserve">Across LGAs, similar patterns were observed. In Biu, 43% are young adults, 31% are middle-aged, 19% are youth, and 7% are older adults. In Guyuk, 46% are young adults, 29% are middle-aged, </w:t>
      </w:r>
      <w:r>
        <w:lastRenderedPageBreak/>
        <w:t>17% are youth, and 8% are older adults. In Kwaya Kusar, 41% are young adults, 34% are middle-aged, 14% are youth, and 12% are older adults.</w:t>
      </w:r>
      <w:r w:rsidR="00D45D9D" w:rsidRPr="00F36464">
        <w:t xml:space="preserve"> </w:t>
      </w:r>
    </w:p>
    <w:p w14:paraId="7485D27D" w14:textId="6A98EDDE" w:rsidR="00122A88" w:rsidRDefault="00122A88" w:rsidP="00122A88">
      <w:pPr>
        <w:keepNext/>
      </w:pPr>
    </w:p>
    <w:p w14:paraId="0FDCF895" w14:textId="34209A01" w:rsidR="00D45D9D" w:rsidRDefault="00B858F9" w:rsidP="00D45D9D">
      <w:pPr>
        <w:pStyle w:val="Heading3"/>
      </w:pPr>
      <w:bookmarkStart w:id="37" w:name="_Toc207390319"/>
      <w:r>
        <w:rPr>
          <w:noProof/>
        </w:rPr>
        <w:drawing>
          <wp:anchor distT="0" distB="0" distL="114300" distR="114300" simplePos="0" relativeHeight="251647488" behindDoc="1" locked="0" layoutInCell="1" allowOverlap="1" wp14:anchorId="4F614AB3" wp14:editId="3148FA45">
            <wp:simplePos x="0" y="0"/>
            <wp:positionH relativeFrom="column">
              <wp:posOffset>25400</wp:posOffset>
            </wp:positionH>
            <wp:positionV relativeFrom="paragraph">
              <wp:posOffset>247650</wp:posOffset>
            </wp:positionV>
            <wp:extent cx="1475105" cy="1179830"/>
            <wp:effectExtent l="0" t="0" r="0" b="1270"/>
            <wp:wrapTight wrapText="bothSides">
              <wp:wrapPolygon edited="0">
                <wp:start x="2511" y="0"/>
                <wp:lineTo x="1953" y="1744"/>
                <wp:lineTo x="3347" y="6278"/>
                <wp:lineTo x="1116" y="9068"/>
                <wp:lineTo x="0" y="10812"/>
                <wp:lineTo x="0" y="13602"/>
                <wp:lineTo x="279" y="18484"/>
                <wp:lineTo x="2511" y="21274"/>
                <wp:lineTo x="3347" y="21274"/>
                <wp:lineTo x="18132" y="21274"/>
                <wp:lineTo x="18969" y="17438"/>
                <wp:lineTo x="20921" y="13602"/>
                <wp:lineTo x="21200" y="8719"/>
                <wp:lineTo x="20642" y="3488"/>
                <wp:lineTo x="18969" y="1046"/>
                <wp:lineTo x="16179" y="0"/>
                <wp:lineTo x="2511" y="0"/>
              </wp:wrapPolygon>
            </wp:wrapTight>
            <wp:docPr id="1064103407" name="Picture 13" descr="A green and yellow circle with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3407" name="Picture 13" descr="A green and yellow circle with a person and perso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475105" cy="1179830"/>
                    </a:xfrm>
                    <a:prstGeom prst="rect">
                      <a:avLst/>
                    </a:prstGeom>
                  </pic:spPr>
                </pic:pic>
              </a:graphicData>
            </a:graphic>
            <wp14:sizeRelH relativeFrom="margin">
              <wp14:pctWidth>0</wp14:pctWidth>
            </wp14:sizeRelH>
            <wp14:sizeRelV relativeFrom="margin">
              <wp14:pctHeight>0</wp14:pctHeight>
            </wp14:sizeRelV>
          </wp:anchor>
        </w:drawing>
      </w:r>
      <w:r w:rsidR="00D45D9D">
        <w:t>4.1.3 Sex of Respondents</w:t>
      </w:r>
      <w:bookmarkEnd w:id="37"/>
    </w:p>
    <w:p w14:paraId="7857E096" w14:textId="03908290" w:rsidR="00B858F9" w:rsidRDefault="6C4CCD62" w:rsidP="00D45D9D">
      <w:r>
        <w:t xml:space="preserve">Across the total sample, </w:t>
      </w:r>
      <w:r w:rsidR="001112C1" w:rsidRPr="001112C1">
        <w:t>Overall, 56% of respondents are female, while 44% are male</w:t>
      </w:r>
      <w:r w:rsidR="001112C1">
        <w:t>.</w:t>
      </w:r>
      <w:r w:rsidR="001112C1" w:rsidRPr="001112C1">
        <w:t xml:space="preserve"> By location, Biu recorded 58% female and 42% male, Guyuk had 55% female and 45% male, while Kwaya Kusar recorded 53% female and 47% male</w:t>
      </w:r>
      <w:r w:rsidR="001112C1">
        <w:t xml:space="preserve"> respondents</w:t>
      </w:r>
      <w:r w:rsidR="001112C1" w:rsidRPr="001112C1">
        <w:t>.</w:t>
      </w:r>
    </w:p>
    <w:p w14:paraId="2ABAFB1A" w14:textId="61C0F02D" w:rsidR="00122A88" w:rsidRDefault="00AA0E7B" w:rsidP="00D45D9D">
      <w:r>
        <w:rPr>
          <w:noProof/>
        </w:rPr>
        <mc:AlternateContent>
          <mc:Choice Requires="wps">
            <w:drawing>
              <wp:anchor distT="0" distB="0" distL="114300" distR="114300" simplePos="0" relativeHeight="251651584" behindDoc="1" locked="0" layoutInCell="1" allowOverlap="1" wp14:anchorId="6F17972E" wp14:editId="4E34D7FC">
                <wp:simplePos x="0" y="0"/>
                <wp:positionH relativeFrom="column">
                  <wp:posOffset>22860</wp:posOffset>
                </wp:positionH>
                <wp:positionV relativeFrom="paragraph">
                  <wp:posOffset>194945</wp:posOffset>
                </wp:positionV>
                <wp:extent cx="1271905" cy="635"/>
                <wp:effectExtent l="0" t="0" r="4445" b="0"/>
                <wp:wrapTight wrapText="bothSides">
                  <wp:wrapPolygon edited="0">
                    <wp:start x="0" y="0"/>
                    <wp:lineTo x="0" y="20350"/>
                    <wp:lineTo x="21352" y="20350"/>
                    <wp:lineTo x="21352" y="0"/>
                    <wp:lineTo x="0" y="0"/>
                  </wp:wrapPolygon>
                </wp:wrapTight>
                <wp:docPr id="422895059" name="Text Box 1"/>
                <wp:cNvGraphicFramePr/>
                <a:graphic xmlns:a="http://schemas.openxmlformats.org/drawingml/2006/main">
                  <a:graphicData uri="http://schemas.microsoft.com/office/word/2010/wordprocessingShape">
                    <wps:wsp>
                      <wps:cNvSpPr txBox="1"/>
                      <wps:spPr>
                        <a:xfrm>
                          <a:off x="0" y="0"/>
                          <a:ext cx="1271905" cy="635"/>
                        </a:xfrm>
                        <a:prstGeom prst="rect">
                          <a:avLst/>
                        </a:prstGeom>
                        <a:solidFill>
                          <a:prstClr val="white"/>
                        </a:solidFill>
                        <a:ln>
                          <a:noFill/>
                        </a:ln>
                      </wps:spPr>
                      <wps:txbx>
                        <w:txbxContent>
                          <w:p w14:paraId="3104529A" w14:textId="4C4BFD4B" w:rsidR="00D00EB7" w:rsidRPr="00D00EB7" w:rsidRDefault="00D00EB7" w:rsidP="00D00EB7">
                            <w:pPr>
                              <w:pStyle w:val="Caption"/>
                              <w:rPr>
                                <w:b/>
                                <w:bCs/>
                                <w:noProof/>
                                <w:color w:val="44841A"/>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2</w:t>
                            </w:r>
                            <w:r w:rsidRPr="00D00EB7">
                              <w:rPr>
                                <w:sz w:val="16"/>
                                <w:szCs w:val="16"/>
                              </w:rPr>
                              <w:fldChar w:fldCharType="end"/>
                            </w:r>
                            <w:r w:rsidRPr="00D00EB7">
                              <w:rPr>
                                <w:sz w:val="16"/>
                                <w:szCs w:val="16"/>
                              </w:rPr>
                              <w:t xml:space="preserve"> </w:t>
                            </w:r>
                            <w:r w:rsidRPr="00CC0784">
                              <w:rPr>
                                <w:sz w:val="20"/>
                                <w:szCs w:val="20"/>
                              </w:rPr>
                              <w:t>Gender</w:t>
                            </w:r>
                            <w:r w:rsidRPr="00D00EB7">
                              <w:rPr>
                                <w:sz w:val="16"/>
                                <w:szCs w:val="16"/>
                              </w:rPr>
                              <w:t xml:space="preserve"> distribution of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17972E" id="_x0000_s1027" type="#_x0000_t202" style="position:absolute;left:0;text-align:left;margin-left:1.8pt;margin-top:15.35pt;width:100.15pt;height:.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" stroked="f">
                <v:textbox style="mso-fit-shape-to-text:t" inset="0,0,0,0">
                  <w:txbxContent>
                    <w:p w14:paraId="3104529A" w14:textId="4C4BFD4B" w:rsidR="00D00EB7" w:rsidRPr="00D00EB7" w:rsidRDefault="00D00EB7" w:rsidP="00D00EB7">
                      <w:pPr>
                        <w:pStyle w:val="Caption"/>
                        <w:rPr>
                          <w:b/>
                          <w:bCs/>
                          <w:noProof/>
                          <w:color w:val="44841A"/>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2</w:t>
                      </w:r>
                      <w:r w:rsidRPr="00D00EB7">
                        <w:rPr>
                          <w:sz w:val="16"/>
                          <w:szCs w:val="16"/>
                        </w:rPr>
                        <w:fldChar w:fldCharType="end"/>
                      </w:r>
                      <w:r w:rsidRPr="00D00EB7">
                        <w:rPr>
                          <w:sz w:val="16"/>
                          <w:szCs w:val="16"/>
                        </w:rPr>
                        <w:t xml:space="preserve"> </w:t>
                      </w:r>
                      <w:r w:rsidRPr="00CC0784">
                        <w:rPr>
                          <w:sz w:val="20"/>
                          <w:szCs w:val="20"/>
                        </w:rPr>
                        <w:t>Gender</w:t>
                      </w:r>
                      <w:r w:rsidRPr="00D00EB7">
                        <w:rPr>
                          <w:sz w:val="16"/>
                          <w:szCs w:val="16"/>
                        </w:rPr>
                        <w:t xml:space="preserve"> distribution of respondents</w:t>
                      </w:r>
                    </w:p>
                  </w:txbxContent>
                </v:textbox>
                <w10:wrap type="tight"/>
              </v:shape>
            </w:pict>
          </mc:Fallback>
        </mc:AlternateContent>
      </w:r>
    </w:p>
    <w:p w14:paraId="5F4B8727" w14:textId="29D20172" w:rsidR="00122A88" w:rsidRDefault="00122A88" w:rsidP="00122A88">
      <w:pPr>
        <w:pStyle w:val="Heading3"/>
      </w:pPr>
      <w:bookmarkStart w:id="38" w:name="_Toc207390320"/>
      <w:r>
        <w:t>4.1.3 Disability Status of Respondents</w:t>
      </w:r>
      <w:bookmarkEnd w:id="38"/>
    </w:p>
    <w:p w14:paraId="1ECC03E1" w14:textId="280CE222" w:rsidR="00D45D9D" w:rsidRPr="00D45D9D" w:rsidRDefault="00D00EB7" w:rsidP="00D45D9D">
      <w:r>
        <w:rPr>
          <w:noProof/>
        </w:rPr>
        <mc:AlternateContent>
          <mc:Choice Requires="wps">
            <w:drawing>
              <wp:anchor distT="0" distB="0" distL="114300" distR="114300" simplePos="0" relativeHeight="251668992" behindDoc="0" locked="0" layoutInCell="1" allowOverlap="1" wp14:anchorId="114BF5A4" wp14:editId="43D4BFB6">
                <wp:simplePos x="0" y="0"/>
                <wp:positionH relativeFrom="column">
                  <wp:posOffset>0</wp:posOffset>
                </wp:positionH>
                <wp:positionV relativeFrom="paragraph">
                  <wp:posOffset>1391285</wp:posOffset>
                </wp:positionV>
                <wp:extent cx="1765300" cy="635"/>
                <wp:effectExtent l="0" t="0" r="0" b="0"/>
                <wp:wrapSquare wrapText="bothSides"/>
                <wp:docPr id="1049620490" name="Text Box 1"/>
                <wp:cNvGraphicFramePr/>
                <a:graphic xmlns:a="http://schemas.openxmlformats.org/drawingml/2006/main">
                  <a:graphicData uri="http://schemas.microsoft.com/office/word/2010/wordprocessingShape">
                    <wps:wsp>
                      <wps:cNvSpPr txBox="1"/>
                      <wps:spPr>
                        <a:xfrm>
                          <a:off x="0" y="0"/>
                          <a:ext cx="1765300" cy="635"/>
                        </a:xfrm>
                        <a:prstGeom prst="rect">
                          <a:avLst/>
                        </a:prstGeom>
                        <a:solidFill>
                          <a:prstClr val="white"/>
                        </a:solidFill>
                        <a:ln>
                          <a:noFill/>
                        </a:ln>
                      </wps:spPr>
                      <wps:txbx>
                        <w:txbxContent>
                          <w:p w14:paraId="592676C3" w14:textId="3CA24ACE" w:rsidR="00D00EB7" w:rsidRPr="00D00EB7" w:rsidRDefault="00D00EB7" w:rsidP="00D00EB7">
                            <w:pPr>
                              <w:pStyle w:val="Caption"/>
                              <w:rPr>
                                <w:noProof/>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3</w:t>
                            </w:r>
                            <w:r w:rsidRPr="00D00EB7">
                              <w:rPr>
                                <w:sz w:val="16"/>
                                <w:szCs w:val="16"/>
                              </w:rPr>
                              <w:fldChar w:fldCharType="end"/>
                            </w:r>
                            <w:r w:rsidRPr="00D00EB7">
                              <w:rPr>
                                <w:sz w:val="16"/>
                                <w:szCs w:val="16"/>
                              </w:rPr>
                              <w:t xml:space="preserve"> Percentage of persons with disabilities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BF5A4" id="_x0000_s1028" type="#_x0000_t202" style="position:absolute;left:0;text-align:left;margin-left:0;margin-top:109.55pt;width:13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a9GQIAAD8EAAAOAAAAZHJzL2Uyb0RvYy54bWysU8Fu2zAMvQ/YPwi6L05SNBu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" stroked="f">
                <v:textbox style="mso-fit-shape-to-text:t" inset="0,0,0,0">
                  <w:txbxContent>
                    <w:p w14:paraId="592676C3" w14:textId="3CA24ACE" w:rsidR="00D00EB7" w:rsidRPr="00D00EB7" w:rsidRDefault="00D00EB7" w:rsidP="00D00EB7">
                      <w:pPr>
                        <w:pStyle w:val="Caption"/>
                        <w:rPr>
                          <w:noProof/>
                          <w:sz w:val="16"/>
                          <w:szCs w:val="16"/>
                        </w:rPr>
                      </w:pPr>
                      <w:r w:rsidRPr="00D00EB7">
                        <w:rPr>
                          <w:sz w:val="16"/>
                          <w:szCs w:val="16"/>
                        </w:rPr>
                        <w:t xml:space="preserve">Figure </w:t>
                      </w:r>
                      <w:r w:rsidRPr="00D00EB7">
                        <w:rPr>
                          <w:sz w:val="16"/>
                          <w:szCs w:val="16"/>
                        </w:rPr>
                        <w:fldChar w:fldCharType="begin"/>
                      </w:r>
                      <w:r w:rsidRPr="00D00EB7">
                        <w:rPr>
                          <w:sz w:val="16"/>
                          <w:szCs w:val="16"/>
                        </w:rPr>
                        <w:instrText xml:space="preserve"> SEQ Figure \* ARABIC </w:instrText>
                      </w:r>
                      <w:r w:rsidRPr="00D00EB7">
                        <w:rPr>
                          <w:sz w:val="16"/>
                          <w:szCs w:val="16"/>
                        </w:rPr>
                        <w:fldChar w:fldCharType="separate"/>
                      </w:r>
                      <w:r w:rsidR="00F06874">
                        <w:rPr>
                          <w:noProof/>
                          <w:sz w:val="16"/>
                          <w:szCs w:val="16"/>
                        </w:rPr>
                        <w:t>3</w:t>
                      </w:r>
                      <w:r w:rsidRPr="00D00EB7">
                        <w:rPr>
                          <w:sz w:val="16"/>
                          <w:szCs w:val="16"/>
                        </w:rPr>
                        <w:fldChar w:fldCharType="end"/>
                      </w:r>
                      <w:r w:rsidRPr="00D00EB7">
                        <w:rPr>
                          <w:sz w:val="16"/>
                          <w:szCs w:val="16"/>
                        </w:rPr>
                        <w:t xml:space="preserve"> Percentage of persons with disabilities</w:t>
                      </w:r>
                    </w:p>
                  </w:txbxContent>
                </v:textbox>
                <w10:wrap type="square"/>
              </v:shape>
            </w:pict>
          </mc:Fallback>
        </mc:AlternateContent>
      </w:r>
      <w:r w:rsidR="00347780">
        <w:rPr>
          <w:noProof/>
        </w:rPr>
        <w:drawing>
          <wp:anchor distT="0" distB="0" distL="114300" distR="114300" simplePos="0" relativeHeight="251664896" behindDoc="1" locked="0" layoutInCell="1" allowOverlap="1" wp14:anchorId="39BA2599" wp14:editId="73577A06">
            <wp:simplePos x="0" y="0"/>
            <wp:positionH relativeFrom="margin">
              <wp:align>left</wp:align>
            </wp:positionH>
            <wp:positionV relativeFrom="paragraph">
              <wp:posOffset>3810</wp:posOffset>
            </wp:positionV>
            <wp:extent cx="1765300" cy="1330325"/>
            <wp:effectExtent l="0" t="0" r="0" b="3175"/>
            <wp:wrapSquare wrapText="bothSides"/>
            <wp:docPr id="11217036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03689" name="Picture 1121703689"/>
                    <pic:cNvPicPr/>
                  </pic:nvPicPr>
                  <pic:blipFill>
                    <a:blip r:embed="rId24">
                      <a:extLst>
                        <a:ext uri="{28A0092B-C50C-407E-A947-70E740481C1C}">
                          <a14:useLocalDpi xmlns:a14="http://schemas.microsoft.com/office/drawing/2010/main" val="0"/>
                        </a:ext>
                      </a:extLst>
                    </a:blip>
                    <a:stretch>
                      <a:fillRect/>
                    </a:stretch>
                  </pic:blipFill>
                  <pic:spPr>
                    <a:xfrm>
                      <a:off x="0" y="0"/>
                      <a:ext cx="1765300" cy="1330325"/>
                    </a:xfrm>
                    <a:prstGeom prst="rect">
                      <a:avLst/>
                    </a:prstGeom>
                  </pic:spPr>
                </pic:pic>
              </a:graphicData>
            </a:graphic>
            <wp14:sizeRelH relativeFrom="margin">
              <wp14:pctWidth>0</wp14:pctWidth>
            </wp14:sizeRelH>
            <wp14:sizeRelV relativeFrom="margin">
              <wp14:pctHeight>0</wp14:pctHeight>
            </wp14:sizeRelV>
          </wp:anchor>
        </w:drawing>
      </w:r>
      <w:r w:rsidR="00BB3666" w:rsidRPr="00BB3666">
        <w:t>The</w:t>
      </w:r>
      <w:r w:rsidR="00BB3666">
        <w:t xml:space="preserve"> baseline</w:t>
      </w:r>
      <w:r w:rsidR="00BB3666" w:rsidRPr="00BB3666">
        <w:t xml:space="preserve"> assessment </w:t>
      </w:r>
      <w:r w:rsidR="00BB3666">
        <w:t>revealed</w:t>
      </w:r>
      <w:r w:rsidR="00BB3666" w:rsidRPr="00BB3666">
        <w:t xml:space="preserve"> that 23.1% of respondents are persons with disabilities, while the majority, 76.9%, reported having no form of disability. This means nearly one in four respondents fall within the category of persons with disabilities, reflecting the presence of disability-related vulnerabilities within the project area</w:t>
      </w:r>
      <w:r w:rsidR="00BB3666">
        <w:t xml:space="preserve"> and beyond</w:t>
      </w:r>
      <w:r w:rsidR="00122A88" w:rsidRPr="00122A88">
        <w:t xml:space="preserve"> global estimates (WHO estimates ~15% disability prevalence worldwide)</w:t>
      </w:r>
      <w:r w:rsidR="00122A88">
        <w:rPr>
          <w:rStyle w:val="FootnoteReference"/>
        </w:rPr>
        <w:footnoteReference w:id="5"/>
      </w:r>
      <w:r w:rsidR="00122A88" w:rsidRPr="00122A88">
        <w:t>.</w:t>
      </w:r>
      <w:r w:rsidR="00D45D9D" w:rsidRPr="00F36464">
        <w:rPr>
          <w:noProof/>
        </w:rPr>
        <mc:AlternateContent>
          <mc:Choice Requires="wps">
            <w:drawing>
              <wp:anchor distT="0" distB="0" distL="114300" distR="114300" simplePos="0" relativeHeight="251662848" behindDoc="0" locked="0" layoutInCell="1" hidden="0" allowOverlap="1" wp14:anchorId="1C3E9147" wp14:editId="27581E45">
                <wp:simplePos x="0" y="0"/>
                <wp:positionH relativeFrom="column">
                  <wp:posOffset>2819400</wp:posOffset>
                </wp:positionH>
                <wp:positionV relativeFrom="paragraph">
                  <wp:posOffset>1371600</wp:posOffset>
                </wp:positionV>
                <wp:extent cx="635" cy="12700"/>
                <wp:effectExtent l="0" t="0" r="0" b="0"/>
                <wp:wrapSquare wrapText="bothSides" distT="0" distB="0" distL="114300" distR="114300"/>
                <wp:docPr id="2142450659" name="Rectangle 2142450659"/>
                <wp:cNvGraphicFramePr/>
                <a:graphic xmlns:a="http://schemas.openxmlformats.org/drawingml/2006/main">
                  <a:graphicData uri="http://schemas.microsoft.com/office/word/2010/wordprocessingShape">
                    <wps:wsp>
                      <wps:cNvSpPr/>
                      <wps:spPr>
                        <a:xfrm>
                          <a:off x="3891850" y="3779683"/>
                          <a:ext cx="2908300" cy="635"/>
                        </a:xfrm>
                        <a:prstGeom prst="rect">
                          <a:avLst/>
                        </a:prstGeom>
                        <a:solidFill>
                          <a:srgbClr val="FFFFFF"/>
                        </a:solidFill>
                        <a:ln>
                          <a:noFill/>
                        </a:ln>
                      </wps:spPr>
                      <wps:txbx>
                        <w:txbxContent>
                          <w:p w14:paraId="13BD8211" w14:textId="77777777" w:rsidR="009C3983" w:rsidRDefault="009C3983" w:rsidP="00D45D9D">
                            <w:pPr>
                              <w:spacing w:after="200" w:line="240" w:lineRule="auto"/>
                              <w:jc w:val="left"/>
                              <w:textDirection w:val="btLr"/>
                            </w:pPr>
                            <w:r>
                              <w:rPr>
                                <w:rFonts w:ascii="Arial" w:eastAsia="Arial" w:hAnsi="Arial" w:cs="Arial"/>
                                <w:i/>
                                <w:color w:val="44546A"/>
                                <w:sz w:val="22"/>
                              </w:rPr>
                              <w:t>Figure  SEQ Figure \* ARABIC 1 Gender of respondents</w:t>
                            </w:r>
                          </w:p>
                        </w:txbxContent>
                      </wps:txbx>
                      <wps:bodyPr spcFirstLastPara="1" wrap="square" lIns="0" tIns="0" rIns="0" bIns="0" anchor="t" anchorCtr="0">
                        <a:noAutofit/>
                      </wps:bodyPr>
                    </wps:wsp>
                  </a:graphicData>
                </a:graphic>
              </wp:anchor>
            </w:drawing>
          </mc:Choice>
          <mc:Fallback>
            <w:pict>
              <v:rect w14:anchorId="1C3E9147" id="Rectangle 2142450659" o:spid="_x0000_s1029" style="position:absolute;left:0;text-align:left;margin-left:222pt;margin-top:108pt;width:.05pt;height: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" stroked="f">
                <v:textbox inset="0,0,0,0">
                  <w:txbxContent>
                    <w:p w14:paraId="13BD8211" w14:textId="77777777" w:rsidR="009C3983" w:rsidRDefault="009C3983" w:rsidP="00D45D9D">
                      <w:pPr>
                        <w:spacing w:after="200" w:line="240" w:lineRule="auto"/>
                        <w:jc w:val="left"/>
                        <w:textDirection w:val="btLr"/>
                      </w:pPr>
                      <w:r>
                        <w:rPr>
                          <w:rFonts w:ascii="Arial" w:eastAsia="Arial" w:hAnsi="Arial" w:cs="Arial"/>
                          <w:i/>
                          <w:color w:val="44546A"/>
                          <w:sz w:val="22"/>
                        </w:rPr>
                        <w:t>Figure  SEQ Figure \* ARABIC 1 Gender of respondents</w:t>
                      </w:r>
                    </w:p>
                  </w:txbxContent>
                </v:textbox>
                <w10:wrap type="square"/>
              </v:rect>
            </w:pict>
          </mc:Fallback>
        </mc:AlternateContent>
      </w:r>
    </w:p>
    <w:p w14:paraId="319D0910" w14:textId="576B8738" w:rsidR="00B67E17" w:rsidRDefault="77A23645" w:rsidP="00BB3666">
      <w:pPr>
        <w:pStyle w:val="Heading3"/>
      </w:pPr>
      <w:bookmarkStart w:id="39" w:name="_Toc207390321"/>
      <w:r>
        <w:t>4.1.4</w:t>
      </w:r>
      <w:r w:rsidR="00B67E17">
        <w:t xml:space="preserve"> Respondents’ Occupation</w:t>
      </w:r>
      <w:bookmarkEnd w:id="39"/>
    </w:p>
    <w:p w14:paraId="172290C8" w14:textId="73BA4732" w:rsidR="00E27538" w:rsidRDefault="00E27538" w:rsidP="00E27538">
      <w:pPr>
        <w:pStyle w:val="Heading3"/>
      </w:pPr>
      <w:bookmarkStart w:id="40" w:name="_Toc207390322"/>
      <w:r>
        <w:t xml:space="preserve">4.1.5 </w:t>
      </w:r>
      <w:r w:rsidRPr="0005104D">
        <w:t>Occupational Status and Economic Activity</w:t>
      </w:r>
      <w:bookmarkEnd w:id="40"/>
    </w:p>
    <w:p w14:paraId="782BB52F" w14:textId="75B7A18E" w:rsidR="00B67E17" w:rsidRDefault="00E27538" w:rsidP="00E27538">
      <w:r w:rsidRPr="0005104D">
        <w:t>The survey reveal</w:t>
      </w:r>
      <w:r w:rsidR="00F47039">
        <w:t>ed</w:t>
      </w:r>
      <w:r w:rsidRPr="0005104D">
        <w:t xml:space="preserve"> an economy overwhelmingly dependent on informal sector activities, with 78% of respondents engaged in self-employment as small-scale traders, farmers, herders, or motorcycle transport operators. Unemployment affects 10% of respondents overall, though with significant regional variation - </w:t>
      </w:r>
      <w:r w:rsidRPr="00CC0784">
        <w:rPr>
          <w:highlight w:val="yellow"/>
        </w:rPr>
        <w:t>ranging from just 1% in Guyuk to 20% in Biu,</w:t>
      </w:r>
      <w:r w:rsidRPr="0005104D">
        <w:t xml:space="preserve"> indicating uneven economic recovery across LGAs. Formal employment remains limited, with only 6% holding government positions and 1% working in the private sector or health services. Marginal economic roles include daily </w:t>
      </w:r>
      <w:proofErr w:type="spellStart"/>
      <w:r w:rsidRPr="0005104D">
        <w:t>labor</w:t>
      </w:r>
      <w:proofErr w:type="spellEnd"/>
      <w:r w:rsidRPr="0005104D">
        <w:t xml:space="preserve"> (3%) and apprenticeships (0.2%), while students comprise 2% of respondents. These patterns confirm the precarious nature of livelihoods in the region, with particularly acute challenges in Biu LGA</w:t>
      </w:r>
      <w:r w:rsidR="5D06C8C1">
        <w:t>.</w:t>
      </w:r>
    </w:p>
    <w:p w14:paraId="684B9CB1" w14:textId="77777777" w:rsidR="00122A88" w:rsidRDefault="00122A88">
      <w:r>
        <w:br w:type="page"/>
      </w:r>
    </w:p>
    <w:p w14:paraId="0000011F" w14:textId="73D75EE5" w:rsidR="00D84B93" w:rsidRDefault="00AC6398">
      <w:pPr>
        <w:pStyle w:val="Heading3"/>
        <w:ind w:left="0" w:firstLine="0"/>
      </w:pPr>
      <w:bookmarkStart w:id="41" w:name="_Toc207390323"/>
      <w:r>
        <w:lastRenderedPageBreak/>
        <w:t>4.1.</w:t>
      </w:r>
      <w:r w:rsidR="00B67E17">
        <w:t>6</w:t>
      </w:r>
      <w:r>
        <w:t xml:space="preserve"> Education Levels</w:t>
      </w:r>
      <w:bookmarkEnd w:id="41"/>
    </w:p>
    <w:p w14:paraId="24B48668" w14:textId="20BDC64A" w:rsidR="00BB3666" w:rsidRDefault="00BB3666" w:rsidP="00BB3666">
      <w:r w:rsidRPr="00BB3666">
        <w:t xml:space="preserve"> </w:t>
      </w:r>
      <w:r>
        <w:t xml:space="preserve">The majority of respondents across the project area have completed secondary education, accounting for 40% of the total sample. This </w:t>
      </w:r>
      <w:r w:rsidR="000A0146">
        <w:t>wa</w:t>
      </w:r>
      <w:r>
        <w:t>s followed by 17% who attained OND, ND, or NCE qualifications, while 15% completed primary education. Another 14% of respondents reported having no formal qualification, and 10% indicated their highest level of education as Quranic education, reflecting religious-based learning common in the region. A smaller proportion, 4%, attained a HND or Bachelor’s degree, while less than 1% reported postgraduate qualifications, suggesting very limited access to higher education.</w:t>
      </w:r>
    </w:p>
    <w:p w14:paraId="3A852926" w14:textId="35112008" w:rsidR="00BB3666" w:rsidRDefault="00BB3666" w:rsidP="00BB3666">
      <w:r>
        <w:t>Looking across the LGAs, Guyuk recorded the highest proportion of respondents with secondary education (50%), while Kwaya Kusar had the highest percentage of respondents with primary education (22%). Quranic education was more prominent in Biu (15%) and Kwaya Kusar (17%), compared to 4% in Guyuk. Additionally, the share of respondents with no formal qualification stood at 19% in both Biu and Kwaya Kusar, while Guyuk reported a lower figure of 7%.</w:t>
      </w:r>
    </w:p>
    <w:p w14:paraId="00000120" w14:textId="3F530622" w:rsidR="00D84B93" w:rsidRDefault="00F06874" w:rsidP="00BB3666">
      <w:r>
        <w:rPr>
          <w:noProof/>
        </w:rPr>
        <mc:AlternateContent>
          <mc:Choice Requires="wps">
            <w:drawing>
              <wp:anchor distT="0" distB="0" distL="114300" distR="114300" simplePos="0" relativeHeight="251670016" behindDoc="0" locked="0" layoutInCell="1" allowOverlap="1" wp14:anchorId="6F1F0C68" wp14:editId="1C000812">
                <wp:simplePos x="0" y="0"/>
                <wp:positionH relativeFrom="column">
                  <wp:posOffset>-86995</wp:posOffset>
                </wp:positionH>
                <wp:positionV relativeFrom="paragraph">
                  <wp:posOffset>3585845</wp:posOffset>
                </wp:positionV>
                <wp:extent cx="5734050" cy="635"/>
                <wp:effectExtent l="0" t="0" r="0" b="0"/>
                <wp:wrapSquare wrapText="bothSides"/>
                <wp:docPr id="599073744" name="Text Box 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3FEB4215" w14:textId="7F881192" w:rsidR="00F06874" w:rsidRPr="00F06874" w:rsidRDefault="00F06874" w:rsidP="00F06874">
                            <w:pPr>
                              <w:pStyle w:val="Caption"/>
                              <w:rPr>
                                <w:noProof/>
                                <w:sz w:val="16"/>
                                <w:szCs w:val="16"/>
                              </w:rPr>
                            </w:pPr>
                            <w:r w:rsidRPr="00F06874">
                              <w:rPr>
                                <w:sz w:val="16"/>
                                <w:szCs w:val="16"/>
                              </w:rPr>
                              <w:t xml:space="preserve">Figure </w:t>
                            </w:r>
                            <w:r w:rsidRPr="00F06874">
                              <w:rPr>
                                <w:sz w:val="16"/>
                                <w:szCs w:val="16"/>
                              </w:rPr>
                              <w:fldChar w:fldCharType="begin"/>
                            </w:r>
                            <w:r w:rsidRPr="00F06874">
                              <w:rPr>
                                <w:sz w:val="16"/>
                                <w:szCs w:val="16"/>
                              </w:rPr>
                              <w:instrText xml:space="preserve"> SEQ Figure \* ARABIC </w:instrText>
                            </w:r>
                            <w:r w:rsidRPr="00F06874">
                              <w:rPr>
                                <w:sz w:val="16"/>
                                <w:szCs w:val="16"/>
                              </w:rPr>
                              <w:fldChar w:fldCharType="separate"/>
                            </w:r>
                            <w:r w:rsidRPr="00F06874">
                              <w:rPr>
                                <w:noProof/>
                                <w:sz w:val="16"/>
                                <w:szCs w:val="16"/>
                              </w:rPr>
                              <w:t>4</w:t>
                            </w:r>
                            <w:r w:rsidRPr="00F06874">
                              <w:rPr>
                                <w:sz w:val="16"/>
                                <w:szCs w:val="16"/>
                              </w:rPr>
                              <w:fldChar w:fldCharType="end"/>
                            </w:r>
                            <w:r w:rsidRPr="00F06874">
                              <w:rPr>
                                <w:sz w:val="16"/>
                                <w:szCs w:val="16"/>
                              </w:rPr>
                              <w:t xml:space="preserve"> Educational qualification of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F0C68" id="_x0000_s1030" type="#_x0000_t202" style="position:absolute;left:0;text-align:left;margin-left:-6.85pt;margin-top:282.35pt;width:451.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" stroked="f">
                <v:textbox style="mso-fit-shape-to-text:t" inset="0,0,0,0">
                  <w:txbxContent>
                    <w:p w14:paraId="3FEB4215" w14:textId="7F881192" w:rsidR="00F06874" w:rsidRPr="00F06874" w:rsidRDefault="00F06874" w:rsidP="00F06874">
                      <w:pPr>
                        <w:pStyle w:val="Caption"/>
                        <w:rPr>
                          <w:noProof/>
                          <w:sz w:val="16"/>
                          <w:szCs w:val="16"/>
                        </w:rPr>
                      </w:pPr>
                      <w:r w:rsidRPr="00F06874">
                        <w:rPr>
                          <w:sz w:val="16"/>
                          <w:szCs w:val="16"/>
                        </w:rPr>
                        <w:t xml:space="preserve">Figure </w:t>
                      </w:r>
                      <w:r w:rsidRPr="00F06874">
                        <w:rPr>
                          <w:sz w:val="16"/>
                          <w:szCs w:val="16"/>
                        </w:rPr>
                        <w:fldChar w:fldCharType="begin"/>
                      </w:r>
                      <w:r w:rsidRPr="00F06874">
                        <w:rPr>
                          <w:sz w:val="16"/>
                          <w:szCs w:val="16"/>
                        </w:rPr>
                        <w:instrText xml:space="preserve"> SEQ Figure \* ARABIC </w:instrText>
                      </w:r>
                      <w:r w:rsidRPr="00F06874">
                        <w:rPr>
                          <w:sz w:val="16"/>
                          <w:szCs w:val="16"/>
                        </w:rPr>
                        <w:fldChar w:fldCharType="separate"/>
                      </w:r>
                      <w:r w:rsidRPr="00F06874">
                        <w:rPr>
                          <w:noProof/>
                          <w:sz w:val="16"/>
                          <w:szCs w:val="16"/>
                        </w:rPr>
                        <w:t>4</w:t>
                      </w:r>
                      <w:r w:rsidRPr="00F06874">
                        <w:rPr>
                          <w:sz w:val="16"/>
                          <w:szCs w:val="16"/>
                        </w:rPr>
                        <w:fldChar w:fldCharType="end"/>
                      </w:r>
                      <w:r w:rsidRPr="00F06874">
                        <w:rPr>
                          <w:sz w:val="16"/>
                          <w:szCs w:val="16"/>
                        </w:rPr>
                        <w:t xml:space="preserve"> Educational qualification of respondents</w:t>
                      </w:r>
                    </w:p>
                  </w:txbxContent>
                </v:textbox>
                <w10:wrap type="square"/>
              </v:shape>
            </w:pict>
          </mc:Fallback>
        </mc:AlternateContent>
      </w:r>
      <w:r w:rsidR="00E766D5">
        <w:rPr>
          <w:noProof/>
        </w:rPr>
        <w:drawing>
          <wp:anchor distT="0" distB="0" distL="114300" distR="114300" simplePos="0" relativeHeight="251653632" behindDoc="0" locked="0" layoutInCell="1" hidden="0" allowOverlap="1" wp14:anchorId="3F02CB27" wp14:editId="1BDAEE59">
            <wp:simplePos x="0" y="0"/>
            <wp:positionH relativeFrom="margin">
              <wp:posOffset>-87202</wp:posOffset>
            </wp:positionH>
            <wp:positionV relativeFrom="paragraph">
              <wp:posOffset>1280943</wp:posOffset>
            </wp:positionV>
            <wp:extent cx="5734050" cy="2247900"/>
            <wp:effectExtent l="0" t="0" r="0" b="0"/>
            <wp:wrapSquare wrapText="bothSides" distT="0" distB="0" distL="114300" distR="114300"/>
            <wp:docPr id="2142450649" name="Chart 2142450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BB3666">
        <w:t>In summary, most respondents have at least secondary education, but there remains a significant proportion with no formal education or only Quranic schooling</w:t>
      </w:r>
      <w:r w:rsidR="00AC6398">
        <w:t xml:space="preserve">. </w:t>
      </w:r>
      <w:r w:rsidR="00AC6398">
        <w:rPr>
          <w:noProof/>
        </w:rPr>
        <mc:AlternateContent>
          <mc:Choice Requires="wps">
            <w:drawing>
              <wp:anchor distT="0" distB="0" distL="114300" distR="114300" simplePos="0" relativeHeight="251652608" behindDoc="0" locked="0" layoutInCell="1" hidden="0" allowOverlap="1" wp14:anchorId="0D41FE7C" wp14:editId="4F7D657F">
                <wp:simplePos x="0" y="0"/>
                <wp:positionH relativeFrom="column">
                  <wp:posOffset>1</wp:posOffset>
                </wp:positionH>
                <wp:positionV relativeFrom="paragraph">
                  <wp:posOffset>3048000</wp:posOffset>
                </wp:positionV>
                <wp:extent cx="635" cy="12700"/>
                <wp:effectExtent l="0" t="0" r="0" b="0"/>
                <wp:wrapSquare wrapText="bothSides" distT="0" distB="0" distL="114300" distR="114300"/>
                <wp:docPr id="2142450663" name="Rectangle 2142450663"/>
                <wp:cNvGraphicFramePr/>
                <a:graphic xmlns:a="http://schemas.openxmlformats.org/drawingml/2006/main">
                  <a:graphicData uri="http://schemas.microsoft.com/office/word/2010/wordprocessingShape">
                    <wps:wsp>
                      <wps:cNvSpPr/>
                      <wps:spPr>
                        <a:xfrm>
                          <a:off x="2480245" y="3779683"/>
                          <a:ext cx="5731510" cy="635"/>
                        </a:xfrm>
                        <a:prstGeom prst="rect">
                          <a:avLst/>
                        </a:prstGeom>
                        <a:solidFill>
                          <a:srgbClr val="FFFFFF"/>
                        </a:solidFill>
                        <a:ln>
                          <a:noFill/>
                        </a:ln>
                      </wps:spPr>
                      <wps:txbx>
                        <w:txbxContent>
                          <w:p w14:paraId="019EC298" w14:textId="77777777" w:rsidR="009C3983" w:rsidRDefault="009C3983">
                            <w:pPr>
                              <w:spacing w:after="200" w:line="240" w:lineRule="auto"/>
                              <w:jc w:val="left"/>
                              <w:textDirection w:val="btLr"/>
                            </w:pPr>
                            <w:r>
                              <w:rPr>
                                <w:rFonts w:ascii="Arial" w:eastAsia="Arial" w:hAnsi="Arial" w:cs="Arial"/>
                                <w:i/>
                                <w:color w:val="44546A"/>
                                <w:sz w:val="22"/>
                              </w:rPr>
                              <w:t>Figure  SEQ Figure \* ARABIC 3 Highest educational level completed</w:t>
                            </w:r>
                          </w:p>
                        </w:txbxContent>
                      </wps:txbx>
                      <wps:bodyPr spcFirstLastPara="1" wrap="square" lIns="0" tIns="0" rIns="0" bIns="0" anchor="t" anchorCtr="0">
                        <a:noAutofit/>
                      </wps:bodyPr>
                    </wps:wsp>
                  </a:graphicData>
                </a:graphic>
              </wp:anchor>
            </w:drawing>
          </mc:Choice>
          <mc:Fallback>
            <w:pict>
              <v:rect w14:anchorId="0D41FE7C" id="Rectangle 2142450663" o:spid="_x0000_s1031" style="position:absolute;left:0;text-align:left;margin-left:0;margin-top:240pt;width:.05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" stroked="f">
                <v:textbox inset="0,0,0,0">
                  <w:txbxContent>
                    <w:p w14:paraId="019EC298" w14:textId="77777777" w:rsidR="009C3983" w:rsidRDefault="009C3983">
                      <w:pPr>
                        <w:spacing w:after="200" w:line="240" w:lineRule="auto"/>
                        <w:jc w:val="left"/>
                        <w:textDirection w:val="btLr"/>
                      </w:pPr>
                      <w:r>
                        <w:rPr>
                          <w:rFonts w:ascii="Arial" w:eastAsia="Arial" w:hAnsi="Arial" w:cs="Arial"/>
                          <w:i/>
                          <w:color w:val="44546A"/>
                          <w:sz w:val="22"/>
                        </w:rPr>
                        <w:t>Figure  SEQ Figure \* ARABIC 3 Highest educational level completed</w:t>
                      </w:r>
                    </w:p>
                  </w:txbxContent>
                </v:textbox>
                <w10:wrap type="square"/>
              </v:rect>
            </w:pict>
          </mc:Fallback>
        </mc:AlternateContent>
      </w:r>
    </w:p>
    <w:p w14:paraId="142DD958" w14:textId="411F545B" w:rsidR="00B67E17" w:rsidRDefault="00E766D5">
      <w:pPr>
        <w:pStyle w:val="Heading3"/>
      </w:pPr>
      <w:bookmarkStart w:id="42" w:name="_Toc207390324"/>
      <w:r>
        <w:rPr>
          <w:noProof/>
        </w:rPr>
        <mc:AlternateContent>
          <mc:Choice Requires="wps">
            <w:drawing>
              <wp:anchor distT="0" distB="0" distL="114300" distR="114300" simplePos="0" relativeHeight="251663872" behindDoc="1" locked="0" layoutInCell="1" allowOverlap="1" wp14:anchorId="4F99C32F" wp14:editId="2D230C9B">
                <wp:simplePos x="0" y="0"/>
                <wp:positionH relativeFrom="margin">
                  <wp:posOffset>-97893</wp:posOffset>
                </wp:positionH>
                <wp:positionV relativeFrom="paragraph">
                  <wp:posOffset>2316613</wp:posOffset>
                </wp:positionV>
                <wp:extent cx="5734050" cy="635"/>
                <wp:effectExtent l="0" t="0" r="0" b="0"/>
                <wp:wrapNone/>
                <wp:docPr id="307279815" name="Text Box 1"/>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41362F3B" w14:textId="77777777" w:rsidR="009C3983" w:rsidRDefault="009C3983" w:rsidP="00D45D9D">
                            <w:pPr>
                              <w:spacing w:after="200" w:line="240" w:lineRule="auto"/>
                              <w:jc w:val="left"/>
                              <w:textDirection w:val="btLr"/>
                            </w:pPr>
                            <w:r>
                              <w:rPr>
                                <w:rFonts w:ascii="Arial" w:eastAsia="Arial" w:hAnsi="Arial" w:cs="Arial"/>
                                <w:i/>
                                <w:color w:val="44546A"/>
                                <w:sz w:val="22"/>
                              </w:rPr>
                              <w:t>Figure 4. Educational level of respondents across LGAs</w:t>
                            </w:r>
                          </w:p>
                          <w:p w14:paraId="56BECE50" w14:textId="77777777" w:rsidR="009C3983" w:rsidRPr="00801FF6" w:rsidRDefault="009C3983" w:rsidP="00D45D9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9C32F" id="_x0000_s1032" type="#_x0000_t202" style="position:absolute;left:0;text-align:left;margin-left:-7.7pt;margin-top:182.4pt;width:451.5pt;height:.05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pIGgIAAD8EAAAOAAAAZHJzL2Uyb0RvYy54bWysU01v2zAMvQ/YfxB0X5y0S1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T9cfp3NySfLdXM9j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" stroked="f">
                <v:textbox style="mso-fit-shape-to-text:t" inset="0,0,0,0">
                  <w:txbxContent>
                    <w:p w14:paraId="41362F3B" w14:textId="77777777" w:rsidR="009C3983" w:rsidRDefault="009C3983" w:rsidP="00D45D9D">
                      <w:pPr>
                        <w:spacing w:after="200" w:line="240" w:lineRule="auto"/>
                        <w:jc w:val="left"/>
                        <w:textDirection w:val="btLr"/>
                      </w:pPr>
                      <w:r>
                        <w:rPr>
                          <w:rFonts w:ascii="Arial" w:eastAsia="Arial" w:hAnsi="Arial" w:cs="Arial"/>
                          <w:i/>
                          <w:color w:val="44546A"/>
                          <w:sz w:val="22"/>
                        </w:rPr>
                        <w:t>Figure 4. Educational level of respondents across LGAs</w:t>
                      </w:r>
                    </w:p>
                    <w:p w14:paraId="56BECE50" w14:textId="77777777" w:rsidR="009C3983" w:rsidRPr="00801FF6" w:rsidRDefault="009C3983" w:rsidP="00D45D9D">
                      <w:pPr>
                        <w:pStyle w:val="Caption"/>
                      </w:pPr>
                    </w:p>
                  </w:txbxContent>
                </v:textbox>
                <w10:wrap anchorx="margin"/>
              </v:shape>
            </w:pict>
          </mc:Fallback>
        </mc:AlternateContent>
      </w:r>
      <w:bookmarkEnd w:id="42"/>
    </w:p>
    <w:p w14:paraId="00000121" w14:textId="165A917F" w:rsidR="00D84B93" w:rsidRDefault="00AC6398">
      <w:pPr>
        <w:pStyle w:val="Heading3"/>
      </w:pPr>
      <w:bookmarkStart w:id="43" w:name="_Toc207390325"/>
      <w:r>
        <w:t>4</w:t>
      </w:r>
      <w:bookmarkEnd w:id="43"/>
    </w:p>
    <w:p w14:paraId="192640A2" w14:textId="04000502" w:rsidR="00CA15AA" w:rsidRDefault="00CA15AA" w:rsidP="00AC3A8D">
      <w:r>
        <w:t>.1.7 Household Size and Composition</w:t>
      </w:r>
    </w:p>
    <w:p w14:paraId="624D873A" w14:textId="2936A5F8" w:rsidR="00AC3A8D" w:rsidRDefault="00AC3A8D" w:rsidP="002628BB">
      <w:r>
        <w:t>On average, households across the project area have 8 members. Disaggregating by sex, female respondents reported an average household size of 8 people, while male respondents reported a slightly higher average of 9 people per household.</w:t>
      </w:r>
      <w:r w:rsidR="002628BB" w:rsidDel="002628BB">
        <w:t xml:space="preserve"> </w:t>
      </w:r>
    </w:p>
    <w:p w14:paraId="53499589" w14:textId="77777777" w:rsidR="00AC3A8D" w:rsidRDefault="00AC3A8D" w:rsidP="00AC3A8D">
      <w:r>
        <w:t>Looking across the LGAs, Biu and Kwaya Kusar both recorded larger average household sizes of 9 people, while Guyuk had a smaller average household size of 7 people.</w:t>
      </w:r>
    </w:p>
    <w:p w14:paraId="00000122" w14:textId="0461E38C" w:rsidR="00D84B93" w:rsidRDefault="00AC3A8D" w:rsidP="00AC3A8D">
      <w:r>
        <w:t xml:space="preserve">In summary, household sizes in the project areas are generally large, with Biu and Kwaya Kusar having slightly higher averages than </w:t>
      </w:r>
      <w:proofErr w:type="gramStart"/>
      <w:r>
        <w:t>Guyuk.</w:t>
      </w:r>
      <w:r w:rsidR="1AC0B351">
        <w:t>.</w:t>
      </w:r>
      <w:proofErr w:type="gramEnd"/>
      <w:r w:rsidR="1AC0B351">
        <w:t xml:space="preserve"> </w:t>
      </w:r>
    </w:p>
    <w:p w14:paraId="00000123" w14:textId="3A631933" w:rsidR="00D84B93" w:rsidRDefault="3AED8BA4">
      <w:pPr>
        <w:pStyle w:val="Heading3"/>
      </w:pPr>
      <w:bookmarkStart w:id="44" w:name="_Toc207390326"/>
      <w:r>
        <w:lastRenderedPageBreak/>
        <w:t>4.1.8 Migration status of respondents: Host Communities, IDPs, Returnees</w:t>
      </w:r>
      <w:bookmarkEnd w:id="44"/>
    </w:p>
    <w:p w14:paraId="050B9D37" w14:textId="43563A9D" w:rsidR="00E27538" w:rsidRDefault="0038783E" w:rsidP="00E27538">
      <w:r w:rsidRPr="0038783E">
        <w:t>Across the project area, 63% of respondents belong to host communities but are not personally hosting IDPs, making them the majority group. 25% are returnees, reflecting significant displacement and resettlement dynamics. 9% identified as internally displaced persons (IDPs), while 3% reported that they are part of households currently hosting IDPs</w:t>
      </w:r>
      <w:r w:rsidR="00E27538">
        <w:t>.</w:t>
      </w:r>
    </w:p>
    <w:p w14:paraId="3D2986EE" w14:textId="0D339914" w:rsidR="0038783E" w:rsidRDefault="0038783E" w:rsidP="00E27538">
      <w:r w:rsidRPr="0038783E">
        <w:t>Looking at the LGAs</w:t>
      </w:r>
      <w:r>
        <w:t xml:space="preserve">: </w:t>
      </w:r>
    </w:p>
    <w:p w14:paraId="6E851CEC" w14:textId="77777777" w:rsidR="0038783E" w:rsidRDefault="0038783E" w:rsidP="00CC0784">
      <w:pPr>
        <w:pStyle w:val="ListParagraph"/>
        <w:numPr>
          <w:ilvl w:val="0"/>
          <w:numId w:val="22"/>
        </w:numPr>
      </w:pPr>
      <w:r>
        <w:t>Biu: 71% host community (not hosting), 2% hosting IDPs, 15% returnees, 12% IDPs.</w:t>
      </w:r>
    </w:p>
    <w:p w14:paraId="03B37303" w14:textId="77777777" w:rsidR="0038783E" w:rsidRDefault="0038783E" w:rsidP="00CC0784">
      <w:pPr>
        <w:pStyle w:val="ListParagraph"/>
        <w:numPr>
          <w:ilvl w:val="0"/>
          <w:numId w:val="22"/>
        </w:numPr>
      </w:pPr>
      <w:r>
        <w:t>Guyuk: 55% host community (not hosting), 3% hosting IDPs, 37% returnees, 5% IDPs.</w:t>
      </w:r>
    </w:p>
    <w:p w14:paraId="2DBAFECF" w14:textId="52D251DC" w:rsidR="0038783E" w:rsidRDefault="0038783E" w:rsidP="0038783E">
      <w:pPr>
        <w:pStyle w:val="ListParagraph"/>
        <w:numPr>
          <w:ilvl w:val="0"/>
          <w:numId w:val="22"/>
        </w:numPr>
      </w:pPr>
      <w:r>
        <w:rPr>
          <w:noProof/>
        </w:rPr>
        <w:drawing>
          <wp:anchor distT="0" distB="0" distL="114300" distR="114300" simplePos="0" relativeHeight="251654656" behindDoc="0" locked="0" layoutInCell="1" hidden="0" allowOverlap="1" wp14:anchorId="339C5F30" wp14:editId="3DE090B9">
            <wp:simplePos x="0" y="0"/>
            <wp:positionH relativeFrom="column">
              <wp:posOffset>2494280</wp:posOffset>
            </wp:positionH>
            <wp:positionV relativeFrom="paragraph">
              <wp:posOffset>462915</wp:posOffset>
            </wp:positionV>
            <wp:extent cx="3366135" cy="1374775"/>
            <wp:effectExtent l="0" t="0" r="5715" b="15875"/>
            <wp:wrapSquare wrapText="bothSides" distT="0" distB="0" distL="114300" distR="114300"/>
            <wp:docPr id="2142450646" name="Chart 2142450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t>Kwaya Kusar: 66% host community (not hosting), 8% hosting IDPs, 14% returnees, 12% IDPs.</w:t>
      </w:r>
    </w:p>
    <w:p w14:paraId="00000124" w14:textId="2D2D55E6" w:rsidR="00D84B93" w:rsidRDefault="0038783E" w:rsidP="00E27538">
      <w:r>
        <w:rPr>
          <w:noProof/>
        </w:rPr>
        <mc:AlternateContent>
          <mc:Choice Requires="wps">
            <w:drawing>
              <wp:anchor distT="0" distB="0" distL="114300" distR="114300" simplePos="0" relativeHeight="251655680" behindDoc="0" locked="0" layoutInCell="1" hidden="0" allowOverlap="1" wp14:anchorId="409B119E" wp14:editId="28E505CE">
                <wp:simplePos x="0" y="0"/>
                <wp:positionH relativeFrom="column">
                  <wp:posOffset>2448788</wp:posOffset>
                </wp:positionH>
                <wp:positionV relativeFrom="paragraph">
                  <wp:posOffset>1331696</wp:posOffset>
                </wp:positionV>
                <wp:extent cx="3391535" cy="170180"/>
                <wp:effectExtent l="0" t="0" r="0" b="0"/>
                <wp:wrapSquare wrapText="bothSides" distT="0" distB="0" distL="114300" distR="114300"/>
                <wp:docPr id="2142450664" name="Rectangle 2142450664"/>
                <wp:cNvGraphicFramePr/>
                <a:graphic xmlns:a="http://schemas.openxmlformats.org/drawingml/2006/main">
                  <a:graphicData uri="http://schemas.microsoft.com/office/word/2010/wordprocessingShape">
                    <wps:wsp>
                      <wps:cNvSpPr/>
                      <wps:spPr>
                        <a:xfrm>
                          <a:off x="0" y="0"/>
                          <a:ext cx="3391535" cy="170180"/>
                        </a:xfrm>
                        <a:prstGeom prst="rect">
                          <a:avLst/>
                        </a:prstGeom>
                        <a:solidFill>
                          <a:srgbClr val="FFFFFF"/>
                        </a:solidFill>
                        <a:ln>
                          <a:noFill/>
                        </a:ln>
                      </wps:spPr>
                      <wps:txbx>
                        <w:txbxContent>
                          <w:p w14:paraId="0BBFD729" w14:textId="74E5CADB" w:rsidR="009C3983" w:rsidRPr="00686B58" w:rsidRDefault="009C3983" w:rsidP="00D372E4">
                            <w:pPr>
                              <w:pStyle w:val="Caption"/>
                              <w:rPr>
                                <w:noProof/>
                                <w:sz w:val="16"/>
                                <w:szCs w:val="16"/>
                              </w:rPr>
                            </w:pPr>
                            <w:bookmarkStart w:id="45" w:name="_Toc199282278"/>
                            <w:r w:rsidRPr="00686B58">
                              <w:t xml:space="preserve">Figure </w:t>
                            </w:r>
                            <w:r>
                              <w:fldChar w:fldCharType="begin"/>
                            </w:r>
                            <w:r>
                              <w:instrText>SEQ Figure \* ARABIC</w:instrText>
                            </w:r>
                            <w:r>
                              <w:fldChar w:fldCharType="separate"/>
                            </w:r>
                            <w:r w:rsidR="00F06874">
                              <w:rPr>
                                <w:noProof/>
                              </w:rPr>
                              <w:t>5</w:t>
                            </w:r>
                            <w:r>
                              <w:fldChar w:fldCharType="end"/>
                            </w:r>
                            <w:r w:rsidRPr="00686B58">
                              <w:t xml:space="preserve"> </w:t>
                            </w:r>
                            <w:bookmarkEnd w:id="45"/>
                            <w:r w:rsidRPr="001463DC">
                              <w:t>Respondents migration status</w:t>
                            </w:r>
                          </w:p>
                          <w:p w14:paraId="1E12D55E" w14:textId="68B53BB1" w:rsidR="009C3983" w:rsidRDefault="009C3983">
                            <w:pPr>
                              <w:spacing w:after="200" w:line="240" w:lineRule="auto"/>
                              <w:jc w:val="left"/>
                              <w:textDirection w:val="btLr"/>
                            </w:pPr>
                            <w:r>
                              <w:rPr>
                                <w:rFonts w:ascii="Arial" w:eastAsia="Arial" w:hAnsi="Arial" w:cs="Arial"/>
                                <w:i/>
                                <w:color w:val="44546A"/>
                                <w:sz w:val="22"/>
                              </w:rPr>
                              <w:t>migration status</w:t>
                            </w:r>
                          </w:p>
                        </w:txbxContent>
                      </wps:txbx>
                      <wps:bodyPr spcFirstLastPara="1" wrap="square" lIns="0" tIns="0" rIns="0" bIns="0" anchor="t" anchorCtr="0">
                        <a:noAutofit/>
                      </wps:bodyPr>
                    </wps:wsp>
                  </a:graphicData>
                </a:graphic>
              </wp:anchor>
            </w:drawing>
          </mc:Choice>
          <mc:Fallback>
            <w:pict>
              <v:rect w14:anchorId="409B119E" id="Rectangle 2142450664" o:spid="_x0000_s1033" style="position:absolute;left:0;text-align:left;margin-left:192.8pt;margin-top:104.85pt;width:267.05pt;height:13.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" stroked="f">
                <v:textbox inset="0,0,0,0">
                  <w:txbxContent>
                    <w:p w14:paraId="0BBFD729" w14:textId="74E5CADB" w:rsidR="009C3983" w:rsidRPr="00686B58" w:rsidRDefault="009C3983" w:rsidP="00D372E4">
                      <w:pPr>
                        <w:pStyle w:val="Caption"/>
                        <w:rPr>
                          <w:noProof/>
                          <w:sz w:val="16"/>
                          <w:szCs w:val="16"/>
                        </w:rPr>
                      </w:pPr>
                      <w:bookmarkStart w:id="46" w:name="_Toc199282278"/>
                      <w:r w:rsidRPr="00686B58">
                        <w:t xml:space="preserve">Figure </w:t>
                      </w:r>
                      <w:r>
                        <w:fldChar w:fldCharType="begin"/>
                      </w:r>
                      <w:r>
                        <w:instrText>SEQ Figure \* ARABIC</w:instrText>
                      </w:r>
                      <w:r>
                        <w:fldChar w:fldCharType="separate"/>
                      </w:r>
                      <w:r w:rsidR="00F06874">
                        <w:rPr>
                          <w:noProof/>
                        </w:rPr>
                        <w:t>5</w:t>
                      </w:r>
                      <w:r>
                        <w:fldChar w:fldCharType="end"/>
                      </w:r>
                      <w:r w:rsidRPr="00686B58">
                        <w:t xml:space="preserve"> </w:t>
                      </w:r>
                      <w:bookmarkEnd w:id="46"/>
                      <w:r w:rsidRPr="001463DC">
                        <w:t>Respondents migration status</w:t>
                      </w:r>
                    </w:p>
                    <w:p w14:paraId="1E12D55E" w14:textId="68B53BB1" w:rsidR="009C3983" w:rsidRDefault="009C3983">
                      <w:pPr>
                        <w:spacing w:after="200" w:line="240" w:lineRule="auto"/>
                        <w:jc w:val="left"/>
                        <w:textDirection w:val="btLr"/>
                      </w:pPr>
                      <w:r>
                        <w:rPr>
                          <w:rFonts w:ascii="Arial" w:eastAsia="Arial" w:hAnsi="Arial" w:cs="Arial"/>
                          <w:i/>
                          <w:color w:val="44546A"/>
                          <w:sz w:val="22"/>
                        </w:rPr>
                        <w:t>migration status</w:t>
                      </w:r>
                    </w:p>
                  </w:txbxContent>
                </v:textbox>
                <w10:wrap type="square"/>
              </v:rect>
            </w:pict>
          </mc:Fallback>
        </mc:AlternateContent>
      </w:r>
      <w:r w:rsidRPr="0038783E">
        <w:t xml:space="preserve">This breakdown highlights that while most respondents are from host communities, a small but significant proportion (3–8%) of households are actively </w:t>
      </w:r>
      <w:proofErr w:type="spellStart"/>
      <w:r w:rsidRPr="0038783E">
        <w:t>hosti</w:t>
      </w:r>
      <w:r w:rsidR="00281E5E">
        <w:t>`</w:t>
      </w:r>
      <w:r w:rsidRPr="0038783E">
        <w:t>ng</w:t>
      </w:r>
      <w:proofErr w:type="spellEnd"/>
      <w:r w:rsidRPr="0038783E">
        <w:t xml:space="preserve"> IDPs, which has implications for resource allocation and intervention planning</w:t>
      </w:r>
      <w:r w:rsidR="00E27538">
        <w:t>.</w:t>
      </w:r>
    </w:p>
    <w:p w14:paraId="00000127" w14:textId="631F5D9E" w:rsidR="00D84B93" w:rsidRDefault="00D84B93"/>
    <w:p w14:paraId="0000012A" w14:textId="754D9C96" w:rsidR="00D84B93" w:rsidRDefault="3848DA90">
      <w:pPr>
        <w:pStyle w:val="Heading2"/>
      </w:pPr>
      <w:bookmarkStart w:id="47" w:name="_Toc207390327"/>
      <w:r>
        <w:t xml:space="preserve">4.2 Ward-Level </w:t>
      </w:r>
      <w:r w:rsidR="00E27538">
        <w:t>Findings</w:t>
      </w:r>
      <w:bookmarkEnd w:id="47"/>
    </w:p>
    <w:p w14:paraId="0000012B" w14:textId="77777777" w:rsidR="00D84B93" w:rsidRDefault="00D84B93">
      <w:pPr>
        <w:rPr>
          <w:sz w:val="2"/>
          <w:szCs w:val="2"/>
        </w:rPr>
      </w:pPr>
    </w:p>
    <w:p w14:paraId="0000012C" w14:textId="77777777" w:rsidR="00D84B93" w:rsidRDefault="00AC6398">
      <w:pPr>
        <w:pStyle w:val="Heading3"/>
      </w:pPr>
      <w:bookmarkStart w:id="48" w:name="_Toc207390328"/>
      <w:r>
        <w:t>4.2.1 Livelihoods and Economic Conditions</w:t>
      </w:r>
      <w:bookmarkEnd w:id="48"/>
    </w:p>
    <w:p w14:paraId="781A4415" w14:textId="3F45292E" w:rsidR="00281E5E" w:rsidRDefault="00281E5E" w:rsidP="00281E5E">
      <w:r>
        <w:t>Across the three LGAs, subsistence farming remains the dominant source of income. Most households depend on small-scale agriculture and informal economic activities such as petty trading and livestock rearing. These livelihoods are highly vulnerable to climate shocks—including droughts, floods, and pest infestations—combined with limited access to markets and agricultural inputs, which together threaten food security.</w:t>
      </w:r>
    </w:p>
    <w:p w14:paraId="0000012D" w14:textId="48271182" w:rsidR="00D84B93" w:rsidRDefault="00281E5E" w:rsidP="00281E5E">
      <w:r>
        <w:t>The assessment also revealed location-specific stressors: unreliable rainfall in Guyuk, land scarcity in Kwaya Kusar, and market volatility in Biu. These challenges disproportionately affect women and youth, who make up a significant share of the local workforce but face systemic barriers to land ownership, financial capital, and participation in decision-making</w:t>
      </w:r>
      <w:r w:rsidR="50B60996">
        <w:t>.</w:t>
      </w:r>
    </w:p>
    <w:p w14:paraId="0000012E" w14:textId="77777777" w:rsidR="00D84B93" w:rsidRDefault="00AC6398">
      <w:pPr>
        <w:pStyle w:val="Heading4"/>
      </w:pPr>
      <w:r>
        <w:t>Main Livelihood Activities</w:t>
      </w:r>
    </w:p>
    <w:p w14:paraId="7133E534" w14:textId="77777777" w:rsidR="006B69B1" w:rsidRDefault="00AC6398">
      <w:pPr>
        <w:keepNext/>
      </w:pPr>
      <w:r w:rsidRPr="00CC0784">
        <w:rPr>
          <w:strike/>
        </w:rPr>
        <w:t xml:space="preserve">The quantitative survey data showed that averagely, 78% of respondents are self-employed, largely in farming, herding, and small-scale trading as detailed in the chart </w:t>
      </w:r>
      <w:r w:rsidR="00D61899" w:rsidRPr="00CC0784">
        <w:rPr>
          <w:strike/>
        </w:rPr>
        <w:t>below</w:t>
      </w:r>
      <w:r w:rsidRPr="00CC0784">
        <w:rPr>
          <w:strike/>
        </w:rPr>
        <w:t>. This trend is consistent across all three surveyed LGAs, though the nature of economic activities varies by ward.</w:t>
      </w:r>
      <w:r>
        <w:t xml:space="preserve"> </w:t>
      </w:r>
      <w:r w:rsidR="006B69B1" w:rsidRPr="006B69B1">
        <w:t xml:space="preserve">By LGA, self-employment is most dominant in Guyuk (91%), followed by Kwaya Kusar (69%) and Biu </w:t>
      </w:r>
      <w:r w:rsidR="006B69B1" w:rsidRPr="006B69B1">
        <w:lastRenderedPageBreak/>
        <w:t>(66%). Unemployment was notably higher in Biu (20%), compared to 10% in Kwaya Kusar and just 1% in Guyuk.</w:t>
      </w:r>
    </w:p>
    <w:p w14:paraId="0000012F" w14:textId="2012181D" w:rsidR="00D84B93" w:rsidRDefault="00AC6398">
      <w:pPr>
        <w:keepNext/>
      </w:pPr>
      <w:r>
        <w:rPr>
          <w:noProof/>
        </w:rPr>
        <w:drawing>
          <wp:inline distT="0" distB="0" distL="0" distR="0" wp14:anchorId="5D12B755" wp14:editId="32102F9E">
            <wp:extent cx="5734201" cy="2495550"/>
            <wp:effectExtent l="0" t="0" r="0" b="0"/>
            <wp:docPr id="2142450653" name="Chart 2142450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130" w14:textId="77777777" w:rsidR="00D84B93" w:rsidRDefault="00AC6398">
      <w:pPr>
        <w:pBdr>
          <w:top w:val="nil"/>
          <w:left w:val="nil"/>
          <w:bottom w:val="nil"/>
          <w:right w:val="nil"/>
          <w:between w:val="nil"/>
        </w:pBdr>
        <w:spacing w:after="200" w:line="240" w:lineRule="auto"/>
        <w:rPr>
          <w:i/>
          <w:color w:val="44546A"/>
          <w:sz w:val="22"/>
          <w:szCs w:val="22"/>
        </w:rPr>
      </w:pPr>
      <w:bookmarkStart w:id="49" w:name="_heading=h.mv6tjaxzehpm" w:colFirst="0" w:colLast="0"/>
      <w:bookmarkEnd w:id="49"/>
      <w:r>
        <w:rPr>
          <w:i/>
          <w:color w:val="44546A"/>
          <w:sz w:val="22"/>
          <w:szCs w:val="22"/>
        </w:rPr>
        <w:t>Figure 6 Respondents economic situation</w:t>
      </w:r>
    </w:p>
    <w:p w14:paraId="00000131" w14:textId="77777777" w:rsidR="00D84B93" w:rsidRDefault="00AC6398">
      <w:r>
        <w:t xml:space="preserve">In Bodeno and Lokoro (Guyuk), farming is central but increasingly challenged by unreliable rainfall and pest infestations. In </w:t>
      </w:r>
      <w:proofErr w:type="spellStart"/>
      <w:r>
        <w:t>Dugja</w:t>
      </w:r>
      <w:proofErr w:type="spellEnd"/>
      <w:r>
        <w:t xml:space="preserve"> and </w:t>
      </w:r>
      <w:proofErr w:type="spellStart"/>
      <w:r>
        <w:t>Gusi</w:t>
      </w:r>
      <w:proofErr w:type="spellEnd"/>
      <w:r>
        <w:t xml:space="preserve"> (</w:t>
      </w:r>
      <w:proofErr w:type="spellStart"/>
      <w:r>
        <w:t>Kwaya</w:t>
      </w:r>
      <w:proofErr w:type="spellEnd"/>
      <w:r>
        <w:t xml:space="preserve"> Kusar), more residents rely on trading and daily labour, reflecting poorer access to arable land.</w:t>
      </w:r>
    </w:p>
    <w:p w14:paraId="00000132" w14:textId="77777777" w:rsidR="00D84B93" w:rsidRDefault="00AC6398">
      <w:pPr>
        <w:pBdr>
          <w:left w:val="single" w:sz="4" w:space="4" w:color="000000"/>
        </w:pBdr>
      </w:pPr>
      <w:r w:rsidRPr="00276EB3">
        <w:rPr>
          <w:i/>
          <w:color w:val="4472C4" w:themeColor="accent1"/>
        </w:rPr>
        <w:t>“Farming is all we know, but it’s no longer enough. Every season, we lose crops to drought or pests.”</w:t>
      </w:r>
      <w:r>
        <w:br/>
        <w:t>— FGD with Farmers, Lokoro Ward</w:t>
      </w:r>
    </w:p>
    <w:p w14:paraId="00000133" w14:textId="77777777" w:rsidR="00D84B93" w:rsidRDefault="00AC6398">
      <w:pPr>
        <w:pStyle w:val="Heading4"/>
      </w:pPr>
      <w:r>
        <w:t>Economic Challenges and Coping Strategies</w:t>
      </w:r>
    </w:p>
    <w:p w14:paraId="00000134" w14:textId="1DD778ED" w:rsidR="00D84B93" w:rsidRDefault="3CAD0EDA">
      <w:r>
        <w:t>FGD’s across wards highlighted declining yields, poor access to farm inputs, and rising food prices as key concerns. In Bobini, traders spoke of shrinking profits due to delayed repayments</w:t>
      </w:r>
      <w:r w:rsidR="006B69B1">
        <w:t xml:space="preserve"> </w:t>
      </w:r>
      <w:r w:rsidR="006B69B1" w:rsidRPr="006B69B1">
        <w:t>from customers,</w:t>
      </w:r>
      <w:r>
        <w:t xml:space="preserve"> </w:t>
      </w:r>
      <w:r w:rsidR="006B69B1" w:rsidRPr="006B69B1">
        <w:t>coupled with the adverse effects of inflation on the cost of goods.</w:t>
      </w:r>
      <w:r>
        <w:t xml:space="preserve"> In Buratai, residents linked income losses to livestock diseases and theft.</w:t>
      </w:r>
    </w:p>
    <w:p w14:paraId="00000135" w14:textId="77777777" w:rsidR="00D84B93" w:rsidRDefault="00AC6398">
      <w:r>
        <w:t>Common coping strategies include borrowing food or money, reducing meal sizes, and sending youth to urban centres for seasonal work. Survey data support these accounts, with a notable portion of households reporting income shocks linked to climate and insecurity.</w:t>
      </w:r>
    </w:p>
    <w:p w14:paraId="00000136" w14:textId="468F7154" w:rsidR="00D84B93" w:rsidRDefault="3CAD0EDA" w:rsidP="3CAD0EDA">
      <w:pPr>
        <w:pBdr>
          <w:left w:val="single" w:sz="4" w:space="4" w:color="000000"/>
        </w:pBdr>
      </w:pPr>
      <w:r w:rsidRPr="3CAD0EDA">
        <w:rPr>
          <w:i/>
          <w:iCs/>
          <w:color w:val="4472C4" w:themeColor="accent1"/>
        </w:rPr>
        <w:t>“During dry season, we cut back. Some families eat once a day or borrow from neighbours to survive.”</w:t>
      </w:r>
      <w:r w:rsidR="00AC6398">
        <w:br/>
      </w:r>
      <w:r>
        <w:t>— FGD with Men, Bodeno Ward, Guyuk LGA.</w:t>
      </w:r>
    </w:p>
    <w:p w14:paraId="00000137" w14:textId="77777777" w:rsidR="00D84B93" w:rsidRDefault="00D84B93">
      <w:pPr>
        <w:rPr>
          <w:sz w:val="2"/>
          <w:szCs w:val="2"/>
        </w:rPr>
      </w:pPr>
    </w:p>
    <w:p w14:paraId="00000138" w14:textId="77777777" w:rsidR="00D84B93" w:rsidRDefault="00AC6398">
      <w:pPr>
        <w:pStyle w:val="Heading4"/>
      </w:pPr>
      <w:r>
        <w:t>Youth and Employment Gaps</w:t>
      </w:r>
    </w:p>
    <w:p w14:paraId="00000139" w14:textId="6E46E79F" w:rsidR="00D84B93" w:rsidRDefault="006B69B1">
      <w:r w:rsidRPr="006B69B1">
        <w:t>Youth in all three LGAs face restricted access to land and start-up capital, significantly limiting their ability to transition into secure and independent livelihoods. In Wawa (Kwaya Kusar), young people reported that farming opportunities are largely reserved for family heads or older men, who traditionally control land ownership and decision-making around agricultural production.</w:t>
      </w:r>
      <w:r w:rsidR="436EB1D2">
        <w:t xml:space="preserve"> Unemployment was most visible in Biu, where 20% of surveyed respondents reported being out of work.</w:t>
      </w:r>
    </w:p>
    <w:p w14:paraId="0000013A" w14:textId="77777777" w:rsidR="00D84B93" w:rsidRDefault="00AC6398">
      <w:pPr>
        <w:pBdr>
          <w:left w:val="single" w:sz="4" w:space="4" w:color="000000"/>
        </w:pBdr>
      </w:pPr>
      <w:r w:rsidRPr="00276EB3">
        <w:rPr>
          <w:i/>
          <w:color w:val="4472C4" w:themeColor="accent1"/>
        </w:rPr>
        <w:lastRenderedPageBreak/>
        <w:t>“Even when you’re willing to work, there’s nothing. If you’re not given land or tools, what can you do?”</w:t>
      </w:r>
      <w:r>
        <w:br/>
        <w:t>— FGD with Youth, Wawa Ward</w:t>
      </w:r>
    </w:p>
    <w:p w14:paraId="0000013B" w14:textId="77777777" w:rsidR="00D84B93" w:rsidRDefault="00D84B93">
      <w:pPr>
        <w:rPr>
          <w:sz w:val="8"/>
          <w:szCs w:val="8"/>
        </w:rPr>
      </w:pPr>
    </w:p>
    <w:p w14:paraId="0000013C" w14:textId="77777777" w:rsidR="00D84B93" w:rsidRDefault="00AC6398">
      <w:pPr>
        <w:pStyle w:val="Heading4"/>
      </w:pPr>
      <w:r>
        <w:t>Women’s Roles and Barriers</w:t>
      </w:r>
    </w:p>
    <w:p w14:paraId="0000013D" w14:textId="715CEBF1" w:rsidR="00D84B93" w:rsidRDefault="00AC6398">
      <w:r>
        <w:t>Women across Biu, Guyuk, and Kwaya Kusar are engaged in essential livelihood activities such as food processing, petty trading, and small-scale farming</w:t>
      </w:r>
      <w:r w:rsidR="0053357A">
        <w:t xml:space="preserve">. However, their access to </w:t>
      </w:r>
      <w:r>
        <w:t xml:space="preserve">critical resources </w:t>
      </w:r>
      <w:r w:rsidR="0053357A">
        <w:t xml:space="preserve">particularly land, and credit facilities </w:t>
      </w:r>
      <w:r>
        <w:t>remains limited. In Wawa (Kwaya Kusar), displaced and host women noted that they rely on small trading and aid distributions, but lack of access to land, tools, or credit severely constrains their economic independence.</w:t>
      </w:r>
    </w:p>
    <w:p w14:paraId="0000013E" w14:textId="75424C41" w:rsidR="00D84B93" w:rsidRDefault="2BD0F86D" w:rsidP="2BD0F86D">
      <w:pPr>
        <w:pBdr>
          <w:left w:val="single" w:sz="4" w:space="4" w:color="000000"/>
        </w:pBdr>
        <w:jc w:val="left"/>
      </w:pPr>
      <w:r w:rsidRPr="2BD0F86D">
        <w:rPr>
          <w:i/>
          <w:iCs/>
          <w:color w:val="4472C4" w:themeColor="accent1"/>
        </w:rPr>
        <w:t>“Farming is difficult because we do not have land of our own, and even when we get land, there is no support, no seeds, fertiliser, or tools.”</w:t>
      </w:r>
      <w:r w:rsidR="00AC6398">
        <w:br/>
      </w:r>
      <w:r>
        <w:t>— FGD with Women IDPs, Wawa Ward</w:t>
      </w:r>
    </w:p>
    <w:p w14:paraId="0000013F" w14:textId="14D47736" w:rsidR="00D84B93" w:rsidRDefault="2BD0F86D">
      <w:r>
        <w:t xml:space="preserve">This pattern was echoed by a women's leader in Gondi, </w:t>
      </w:r>
      <w:r w:rsidR="00822C1E">
        <w:t>(</w:t>
      </w:r>
      <w:r w:rsidR="006B69B1">
        <w:t>Kwaya Kusar</w:t>
      </w:r>
      <w:r>
        <w:t xml:space="preserve"> LGA</w:t>
      </w:r>
      <w:r w:rsidR="00822C1E">
        <w:t>)</w:t>
      </w:r>
      <w:r>
        <w:t>, who reported widespread exclusion of women from both formal and informal support structures, including community development interventions and government-led aid.</w:t>
      </w:r>
    </w:p>
    <w:p w14:paraId="00000140" w14:textId="3EE05144" w:rsidR="00D84B93" w:rsidRDefault="00AC6398" w:rsidP="003005EE">
      <w:pPr>
        <w:pBdr>
          <w:left w:val="single" w:sz="4" w:space="4" w:color="000000"/>
        </w:pBdr>
        <w:jc w:val="left"/>
        <w:rPr>
          <w:i/>
        </w:rPr>
      </w:pPr>
      <w:r w:rsidRPr="003005EE">
        <w:rPr>
          <w:i/>
          <w:color w:val="4472C4" w:themeColor="accent1"/>
        </w:rPr>
        <w:t>“The most common issue raised by women is the deliberate marginalisation by the government, traditional institutions, and community leaders. Women are not represented in the traditional and community structure</w:t>
      </w:r>
      <w:r w:rsidR="003E2A3F" w:rsidRPr="003005EE">
        <w:rPr>
          <w:i/>
          <w:color w:val="4472C4" w:themeColor="accent1"/>
        </w:rPr>
        <w:t xml:space="preserve">, </w:t>
      </w:r>
      <w:r w:rsidRPr="003005EE">
        <w:rPr>
          <w:i/>
          <w:color w:val="4472C4" w:themeColor="accent1"/>
        </w:rPr>
        <w:t>the gender is excluded in decision-making deliberately.”</w:t>
      </w:r>
      <w:r>
        <w:rPr>
          <w:i/>
        </w:rPr>
        <w:br/>
        <w:t>— KII with Women Leader, Gondi</w:t>
      </w:r>
    </w:p>
    <w:p w14:paraId="0C969018" w14:textId="35EE136E" w:rsidR="00A935EF" w:rsidRDefault="00A935EF" w:rsidP="00A935EF">
      <w:r>
        <w:t>Systemic exclusion from community planning and decision-making processes remains a significant barrier to inclusive governance across the three LGAs, though the nature and extent of exclusion vary considerably by location. While some communities report inclusive practices, others reveal entrenched patterns of marginalisation, particularly affecting women, youth, and vulnerable groups such as persons with disabilities (PWDs), internally displaced persons (IDPs), and the elderly.</w:t>
      </w:r>
    </w:p>
    <w:p w14:paraId="7A69CD2A" w14:textId="1914AE42" w:rsidR="00A935EF" w:rsidRPr="008D45EE" w:rsidRDefault="00A935EF" w:rsidP="008D45EE">
      <w:pPr>
        <w:jc w:val="left"/>
        <w:rPr>
          <w:i/>
          <w:color w:val="4472C4" w:themeColor="accent1"/>
        </w:rPr>
      </w:pPr>
      <w:r>
        <w:t xml:space="preserve">In Kwaya Kusar, exclusion is most pronounced. The LGA recorded the highest proportion of respondents identifying women and girls as excluded from decision-making (22%), alongside the highest exclusion rates for vulnerable groups (15%) and youth (7%). These figures reflect a broader pattern of marginalisation, reinforced by traditional norms and gatekeeping practices that limit participation by non-elite groups. Despite these challenges, 20% of respondents in Kwaya Kusar claimed no groups were excluded, while 36% were uncertain—suggesting either limited awareness </w:t>
      </w:r>
      <w:r w:rsidRPr="00A935EF">
        <w:t>or a reluctance to acknowledge exclusion publicly</w:t>
      </w:r>
      <w:r w:rsidR="6C89030F" w:rsidRPr="00A935EF">
        <w:t>.</w:t>
      </w:r>
    </w:p>
    <w:p w14:paraId="7A8E4CFF" w14:textId="01EAB452" w:rsidR="00A935EF" w:rsidRPr="008D45EE" w:rsidRDefault="00A935EF" w:rsidP="008D45EE">
      <w:pPr>
        <w:pBdr>
          <w:left w:val="single" w:sz="4" w:space="4" w:color="auto"/>
        </w:pBdr>
        <w:rPr>
          <w:i/>
          <w:color w:val="4472C4" w:themeColor="accent1"/>
        </w:rPr>
      </w:pPr>
      <w:r w:rsidRPr="008D45EE">
        <w:rPr>
          <w:i/>
          <w:color w:val="4472C4" w:themeColor="accent1"/>
        </w:rPr>
        <w:t>“The most common issue raised by women is the deliberate marginalisation by the government, traditional institutions, and community leaders. Women are not represented in the traditional and community structure;</w:t>
      </w:r>
      <w:r>
        <w:rPr>
          <w:i/>
          <w:color w:val="4472C4" w:themeColor="accent1"/>
        </w:rPr>
        <w:t xml:space="preserve"> we are </w:t>
      </w:r>
      <w:r w:rsidRPr="008D45EE">
        <w:rPr>
          <w:i/>
          <w:color w:val="4472C4" w:themeColor="accent1"/>
        </w:rPr>
        <w:t>excluded in decision-making deliberately.”</w:t>
      </w:r>
    </w:p>
    <w:p w14:paraId="0E920C69" w14:textId="0D31B0A4" w:rsidR="00A935EF" w:rsidRDefault="00A935EF" w:rsidP="008D45EE">
      <w:pPr>
        <w:pBdr>
          <w:left w:val="single" w:sz="4" w:space="4" w:color="auto"/>
        </w:pBdr>
      </w:pPr>
      <w:r>
        <w:t>— KII with Women Leader, Gondi Ward, Kwaya Kusar</w:t>
      </w:r>
    </w:p>
    <w:p w14:paraId="5FF3530C" w14:textId="33EABC15" w:rsidR="00A935EF" w:rsidRDefault="00A935EF">
      <w:r w:rsidRPr="00A935EF">
        <w:t xml:space="preserve">In Biu, the picture is more complex. While 44% of respondents reported that no groups were excluded—the highest inclusivity score among the three LGAs—18% still identified women and girls as being excluded, and 12% cited exclusion of vulnerable groups. Youth exclusion was reported by 3% of respondents. Notably, 23% of respondents in Biu were unsure whether </w:t>
      </w:r>
      <w:r w:rsidRPr="00A935EF">
        <w:lastRenderedPageBreak/>
        <w:t>exclusion occurred, indicating that awareness of exclusion dynamics may be uneven or that exclusion is more subtle in nature.</w:t>
      </w:r>
    </w:p>
    <w:p w14:paraId="22C739FD" w14:textId="77777777" w:rsidR="00A935EF" w:rsidRPr="008D45EE" w:rsidRDefault="00A935EF" w:rsidP="008D45EE">
      <w:pPr>
        <w:pBdr>
          <w:left w:val="single" w:sz="4" w:space="4" w:color="auto"/>
        </w:pBdr>
        <w:rPr>
          <w:i/>
          <w:color w:val="4472C4" w:themeColor="accent1"/>
        </w:rPr>
      </w:pPr>
      <w:r w:rsidRPr="008D45EE">
        <w:rPr>
          <w:i/>
          <w:color w:val="4472C4" w:themeColor="accent1"/>
        </w:rPr>
        <w:t>“Even when we attend meetings, we’re not asked to speak. The decisions are already made before we enter.”</w:t>
      </w:r>
    </w:p>
    <w:p w14:paraId="2D53C5BF" w14:textId="50087261" w:rsidR="00A935EF" w:rsidRDefault="00A935EF" w:rsidP="008D45EE">
      <w:pPr>
        <w:pBdr>
          <w:left w:val="single" w:sz="4" w:space="4" w:color="auto"/>
        </w:pBdr>
      </w:pPr>
      <w:r>
        <w:t>— FGD with Women, Lokoro Ward, Biu LGA</w:t>
      </w:r>
    </w:p>
    <w:p w14:paraId="3828B881" w14:textId="677C620C" w:rsidR="00A935EF" w:rsidRDefault="00852D25">
      <w:r w:rsidRPr="00852D25">
        <w:t>In Guyuk, exclusion appears underreported. Only 15% of respondents said no groups were excluded, while 12% identified exclusion of women and girls, 5% cited vulnerable groups, and 2% mentioned youth. However, 66% of respondents said “Don’t know” highlighting a critical gap in civic awareness and engagement, which may mask underlying exclusionary practices.</w:t>
      </w:r>
    </w:p>
    <w:p w14:paraId="2E42DBF2" w14:textId="77777777" w:rsidR="00852D25" w:rsidRPr="008D45EE" w:rsidRDefault="00852D25" w:rsidP="008D45EE">
      <w:pPr>
        <w:pBdr>
          <w:left w:val="single" w:sz="4" w:space="4" w:color="auto"/>
        </w:pBdr>
        <w:rPr>
          <w:i/>
          <w:color w:val="4472C4" w:themeColor="accent1"/>
        </w:rPr>
      </w:pPr>
      <w:r w:rsidRPr="008D45EE">
        <w:rPr>
          <w:i/>
          <w:color w:val="4472C4" w:themeColor="accent1"/>
        </w:rPr>
        <w:t>“We are many, but when it comes to sharing support or making decisions, we are not counted.”</w:t>
      </w:r>
    </w:p>
    <w:p w14:paraId="55FC8C9C" w14:textId="77777777" w:rsidR="00852D25" w:rsidRDefault="00852D25" w:rsidP="008D45EE">
      <w:pPr>
        <w:pBdr>
          <w:left w:val="single" w:sz="4" w:space="4" w:color="auto"/>
        </w:pBdr>
      </w:pPr>
      <w:r>
        <w:t xml:space="preserve">— FGD with Women, </w:t>
      </w:r>
      <w:proofErr w:type="spellStart"/>
      <w:r>
        <w:t>Zarawuyaku</w:t>
      </w:r>
      <w:proofErr w:type="spellEnd"/>
      <w:r>
        <w:t xml:space="preserve"> Ward, Biu LGA</w:t>
      </w:r>
    </w:p>
    <w:p w14:paraId="41C23A51" w14:textId="77777777" w:rsidR="00852D25" w:rsidRPr="008D45EE" w:rsidRDefault="00852D25" w:rsidP="008D45EE">
      <w:pPr>
        <w:pBdr>
          <w:left w:val="single" w:sz="4" w:space="4" w:color="auto"/>
        </w:pBdr>
        <w:rPr>
          <w:i/>
          <w:color w:val="4472C4" w:themeColor="accent1"/>
        </w:rPr>
      </w:pPr>
      <w:r w:rsidRPr="008D45EE">
        <w:rPr>
          <w:i/>
          <w:color w:val="4472C4" w:themeColor="accent1"/>
        </w:rPr>
        <w:t>“We work hard, but when the harvest comes, it is the men who sell and decide what to do with the money.”</w:t>
      </w:r>
    </w:p>
    <w:p w14:paraId="43EF2EF2" w14:textId="5343FC62" w:rsidR="00852D25" w:rsidRDefault="00852D25" w:rsidP="008D45EE">
      <w:pPr>
        <w:pBdr>
          <w:left w:val="single" w:sz="4" w:space="4" w:color="auto"/>
        </w:pBdr>
      </w:pPr>
      <w:r>
        <w:t>— FGD with Women, Bobini Ward, Guyuk LGA</w:t>
      </w:r>
    </w:p>
    <w:p w14:paraId="6193581A" w14:textId="4F3E51B0" w:rsidR="00852D25" w:rsidRDefault="00852D25" w:rsidP="00852D25">
      <w:r>
        <w:t>Across all LGAs, several root causes of exclusion were identified. Cultural and religious norms were frequently cited as barriers to women’s and youth participation, particularly in Kwaya Kusar, where traditional leadership structures often prioritise the voices of male elders. Gatekeeping by influential individuals or families was also reported, especially in Biu and Kwaya Kusar, where access to planning spaces and resources is often mediated through informal power networks. In Guyuk, the dominant issue appears to be a lack of civic education and awareness, which limits the ability of community members to recognise or challenge exclusion.</w:t>
      </w:r>
    </w:p>
    <w:p w14:paraId="2A774AD0" w14:textId="24D0A189" w:rsidR="00852D25" w:rsidRDefault="00852D25" w:rsidP="00852D25">
      <w:r>
        <w:t>Despite these challenges, communities expressed a strong desire for more inclusive governance. Respondents proposed a range of practical solutions to address exclusion and improve participation. These included rotational representation and quota systems to ensure that women, youth, and vulnerable groups are included in Community Development Planning (CDP) committees; the creation of safe spaces for dialogue, particularly for women and youth; and the use of trusted facilitators such as religious and traditional leaders to build trust and encourage participation. In Guyuk, where awareness is particularly low, respondents called for targeted civic education campaigns to improve understanding of governance processes and rights. Additionally, communities recommended the establishment of transparent nomination and feedback mechanisms, such as public notice boards and verbal updates at community gatherings, to enhance accountability and ensure that all voices are heard</w:t>
      </w:r>
      <w:r w:rsidR="4DFA5134">
        <w:t>.</w:t>
      </w:r>
    </w:p>
    <w:p w14:paraId="2AF2561D" w14:textId="77777777" w:rsidR="00852D25" w:rsidRPr="008D45EE" w:rsidRDefault="00852D25" w:rsidP="008D45EE">
      <w:pPr>
        <w:pBdr>
          <w:left w:val="single" w:sz="4" w:space="4" w:color="auto"/>
        </w:pBdr>
        <w:rPr>
          <w:i/>
          <w:color w:val="4472C4" w:themeColor="accent1"/>
        </w:rPr>
      </w:pPr>
      <w:r w:rsidRPr="008D45EE">
        <w:rPr>
          <w:i/>
          <w:color w:val="4472C4" w:themeColor="accent1"/>
        </w:rPr>
        <w:t>“Let us all be part of planning from the beginning. That way, we can all benefit and reduce conflict.”</w:t>
      </w:r>
    </w:p>
    <w:p w14:paraId="00000143" w14:textId="2DDE5BD8" w:rsidR="00D84B93" w:rsidRDefault="00852D25" w:rsidP="008D45EE">
      <w:pPr>
        <w:pBdr>
          <w:left w:val="single" w:sz="4" w:space="4" w:color="auto"/>
        </w:pBdr>
      </w:pPr>
      <w:r>
        <w:t>— FGD with Men, Biu LGA</w:t>
      </w:r>
    </w:p>
    <w:p w14:paraId="00000144" w14:textId="77777777" w:rsidR="00D84B93" w:rsidRDefault="00AC6398">
      <w:pPr>
        <w:rPr>
          <w:b/>
          <w:color w:val="44841A"/>
        </w:rPr>
      </w:pPr>
      <w:r>
        <w:rPr>
          <w:b/>
          <w:color w:val="44841A"/>
        </w:rPr>
        <w:t>4.2.2 Access to Services and Community Life</w:t>
      </w:r>
    </w:p>
    <w:p w14:paraId="29DC76C1" w14:textId="506C666C" w:rsidR="00056436" w:rsidRDefault="25ED15D9" w:rsidP="00056436">
      <w:r>
        <w:t xml:space="preserve">Access </w:t>
      </w:r>
      <w:r w:rsidR="00056436">
        <w:t>to basic public services remains uneven and insufficient across the three LGAs. While most wards report</w:t>
      </w:r>
      <w:r w:rsidR="000575EC">
        <w:t>ed</w:t>
      </w:r>
      <w:r w:rsidR="00056436">
        <w:t xml:space="preserve"> the presence of some public infrastructure</w:t>
      </w:r>
      <w:r w:rsidR="000575EC">
        <w:t>.</w:t>
      </w:r>
      <w:r w:rsidR="00056436">
        <w:t xml:space="preserve"> </w:t>
      </w:r>
      <w:r w:rsidR="000575EC">
        <w:t>T</w:t>
      </w:r>
      <w:r w:rsidR="00056436">
        <w:t>he coverage, quality, and functionality of these services vary considerably</w:t>
      </w:r>
      <w:r w:rsidR="0088540F">
        <w:t xml:space="preserve"> </w:t>
      </w:r>
      <w:r w:rsidR="000575EC">
        <w:t>across the wards</w:t>
      </w:r>
      <w:r w:rsidR="0088540F">
        <w:t xml:space="preserve"> and LGAs</w:t>
      </w:r>
      <w:r w:rsidR="00056436">
        <w:t>. These disparities not only affect daily wellbeing but also reinforce community perceptions of marginalisation and neglect.</w:t>
      </w:r>
    </w:p>
    <w:p w14:paraId="544EE1CA" w14:textId="4CAB1D15" w:rsidR="00056436" w:rsidRDefault="00056436" w:rsidP="00056436">
      <w:r>
        <w:lastRenderedPageBreak/>
        <w:t xml:space="preserve">Education services are among the most inconsistently available. According to survey data, primary schools were reported in 23% of wards in Guyuk, 20% in Kwaya Kusar, and 19% in Biu. These figures represent the proportion of wards where respondents confirmed the presence of a primary school. However, the presence of a school does not guarantee functionality. In several wards, respondents described schools as lacking basic infrastructure such as buildings, furniture, or qualified teachers. In Dukul Ward (Guyuk), for instance, the </w:t>
      </w:r>
      <w:r w:rsidR="007310CF">
        <w:t xml:space="preserve">primary </w:t>
      </w:r>
      <w:r>
        <w:t>school operates under trees, and classes are suspended during the rainy season:</w:t>
      </w:r>
    </w:p>
    <w:p w14:paraId="30E8FFE7" w14:textId="77777777" w:rsidR="00056436" w:rsidRPr="008D45EE" w:rsidRDefault="00056436" w:rsidP="008D45EE">
      <w:pPr>
        <w:pBdr>
          <w:left w:val="single" w:sz="4" w:space="4" w:color="auto"/>
        </w:pBdr>
        <w:rPr>
          <w:i/>
          <w:color w:val="4472C4" w:themeColor="accent1"/>
        </w:rPr>
      </w:pPr>
      <w:r w:rsidRPr="008D45EE">
        <w:rPr>
          <w:i/>
          <w:color w:val="4472C4" w:themeColor="accent1"/>
        </w:rPr>
        <w:t>“There is one school, but it’s just trees and benches. When it rains, there is no class. Our children are behind others.”</w:t>
      </w:r>
    </w:p>
    <w:p w14:paraId="75AE027A" w14:textId="77777777" w:rsidR="00056436" w:rsidRDefault="00056436" w:rsidP="008D45EE">
      <w:pPr>
        <w:pBdr>
          <w:left w:val="single" w:sz="4" w:space="4" w:color="auto"/>
        </w:pBdr>
      </w:pPr>
      <w:r>
        <w:t>— FGD with Women, Dukul Ward, Guyuk LGA</w:t>
      </w:r>
    </w:p>
    <w:p w14:paraId="220DB9C6" w14:textId="77777777" w:rsidR="00DF25F1" w:rsidRDefault="00056436" w:rsidP="00056436">
      <w:r>
        <w:t>Secondary schools were even less common, reported in only 12% of wards in Guyuk, 9% in Kwaya Kusar, and 14% in Biu.</w:t>
      </w:r>
      <w:r w:rsidR="008F4950">
        <w:t xml:space="preserve"> </w:t>
      </w:r>
    </w:p>
    <w:p w14:paraId="22787576" w14:textId="44EF0E8B" w:rsidR="00056436" w:rsidRDefault="00056436" w:rsidP="00056436">
      <w:r>
        <w:t>Health facilities were reported in 18% of wards in Guyuk, 15% in Kwaya Kusar, and only 9% in Biu. However, community feedback suggests that many of these facilities are poorly staffed or under-resourced. In this context, “poorly staffed” refers to facilities that either lack qualified health personnel (e.g., nurses, midwives, or doctors) or are intermittently closed due to absenteeism or lack of supplies. In some wards, health posts are manned by volunteers or attendants with no formal training, and essential drugs are often unavailable.</w:t>
      </w:r>
    </w:p>
    <w:p w14:paraId="41E695AB" w14:textId="77777777" w:rsidR="00056436" w:rsidRPr="008D45EE" w:rsidRDefault="00056436" w:rsidP="008D45EE">
      <w:pPr>
        <w:pBdr>
          <w:left w:val="single" w:sz="4" w:space="4" w:color="auto"/>
        </w:pBdr>
        <w:rPr>
          <w:i/>
          <w:color w:val="4472C4" w:themeColor="accent1"/>
        </w:rPr>
      </w:pPr>
      <w:r w:rsidRPr="008D45EE">
        <w:rPr>
          <w:i/>
          <w:color w:val="4472C4" w:themeColor="accent1"/>
        </w:rPr>
        <w:t>“During the rains, the road is cut off. Pregnant women wait until morning or use herbs when labour starts at night.”</w:t>
      </w:r>
    </w:p>
    <w:p w14:paraId="46088875" w14:textId="77777777" w:rsidR="00056436" w:rsidRDefault="00056436" w:rsidP="008D45EE">
      <w:pPr>
        <w:pBdr>
          <w:left w:val="single" w:sz="4" w:space="4" w:color="auto"/>
        </w:pBdr>
      </w:pPr>
      <w:r>
        <w:t xml:space="preserve">— FGD with Youth, </w:t>
      </w:r>
      <w:proofErr w:type="spellStart"/>
      <w:r>
        <w:t>Purokayo</w:t>
      </w:r>
      <w:proofErr w:type="spellEnd"/>
      <w:r>
        <w:t xml:space="preserve"> Ward, </w:t>
      </w:r>
      <w:proofErr w:type="spellStart"/>
      <w:r>
        <w:t>Guyuk</w:t>
      </w:r>
      <w:proofErr w:type="spellEnd"/>
      <w:r>
        <w:t xml:space="preserve"> LGA</w:t>
      </w:r>
    </w:p>
    <w:p w14:paraId="360A2354" w14:textId="77777777" w:rsidR="00056436" w:rsidRDefault="00056436" w:rsidP="00056436">
      <w:r>
        <w:t>Water access remains a critical concern. Boreholes or water points were reported in 15% of wards in Kwaya Kusar, 11% in Guyuk, and 9% in Biu. Even in wards with infrastructure, FGDs revealed frequent breakdowns, seasonal drying, and long walking distances. In Biu, many households rely on rivers or streams, while in Kwaya Kusar, hand pumps and dug wells are more common. Rainwater harvesting and piped water systems were virtually absent across all three LGAs.</w:t>
      </w:r>
    </w:p>
    <w:p w14:paraId="3CC82DA4" w14:textId="77777777" w:rsidR="00056436" w:rsidRPr="008D45EE" w:rsidRDefault="00056436" w:rsidP="008D45EE">
      <w:pPr>
        <w:pBdr>
          <w:left w:val="single" w:sz="4" w:space="4" w:color="auto"/>
        </w:pBdr>
        <w:rPr>
          <w:i/>
          <w:color w:val="4472C4" w:themeColor="accent1"/>
        </w:rPr>
      </w:pPr>
      <w:r w:rsidRPr="008D45EE">
        <w:rPr>
          <w:i/>
          <w:color w:val="4472C4" w:themeColor="accent1"/>
        </w:rPr>
        <w:t>“We use the stream, even when it turns brown during the rainy season. The borehole in our area hasn’t worked in months.”</w:t>
      </w:r>
    </w:p>
    <w:p w14:paraId="668BCB23" w14:textId="77777777" w:rsidR="00056436" w:rsidRDefault="00056436" w:rsidP="008D45EE">
      <w:pPr>
        <w:pBdr>
          <w:left w:val="single" w:sz="4" w:space="4" w:color="auto"/>
        </w:pBdr>
      </w:pPr>
      <w:r>
        <w:t>— FGD with Women, Bodeno Ward, Biu LGA</w:t>
      </w:r>
    </w:p>
    <w:p w14:paraId="4F3964FF" w14:textId="77777777" w:rsidR="00056436" w:rsidRDefault="00056436" w:rsidP="00056436">
      <w:r>
        <w:t>Road infrastructure is also limited. Access roads were reported in only 4% of wards in Guyuk, 5% in Biu, and 7% in Kwaya Kusar. These roads are often unpaved and become impassable during the rainy season, cutting off entire communities from markets, schools, and health centres.</w:t>
      </w:r>
    </w:p>
    <w:p w14:paraId="41BB594D" w14:textId="77777777" w:rsidR="00056436" w:rsidRPr="008D45EE" w:rsidRDefault="00056436" w:rsidP="008D45EE">
      <w:pPr>
        <w:pBdr>
          <w:left w:val="single" w:sz="4" w:space="4" w:color="auto"/>
        </w:pBdr>
        <w:rPr>
          <w:i/>
          <w:color w:val="4472C4" w:themeColor="accent1"/>
        </w:rPr>
      </w:pPr>
      <w:r w:rsidRPr="008D45EE">
        <w:rPr>
          <w:i/>
          <w:color w:val="4472C4" w:themeColor="accent1"/>
        </w:rPr>
        <w:t>“When it rains, we are stuck. No car or bike can pass. Even sick people have to wait or be carried on foot.”</w:t>
      </w:r>
    </w:p>
    <w:p w14:paraId="4B5DB12B" w14:textId="77777777" w:rsidR="00056436" w:rsidRDefault="00056436" w:rsidP="008D45EE">
      <w:pPr>
        <w:pBdr>
          <w:left w:val="single" w:sz="4" w:space="4" w:color="auto"/>
        </w:pBdr>
      </w:pPr>
      <w:r>
        <w:t xml:space="preserve">— FGD with Men, </w:t>
      </w:r>
      <w:proofErr w:type="spellStart"/>
      <w:r>
        <w:t>Gusi</w:t>
      </w:r>
      <w:proofErr w:type="spellEnd"/>
      <w:r>
        <w:t xml:space="preserve"> Ward, </w:t>
      </w:r>
      <w:proofErr w:type="spellStart"/>
      <w:r>
        <w:t>Kwaya</w:t>
      </w:r>
      <w:proofErr w:type="spellEnd"/>
      <w:r>
        <w:t xml:space="preserve"> Kusar LGA</w:t>
      </w:r>
    </w:p>
    <w:p w14:paraId="36FE0757" w14:textId="77777777" w:rsidR="00056436" w:rsidRDefault="00056436" w:rsidP="00056436">
      <w:r>
        <w:t>These service gaps have contributed to widespread scepticism about government responsiveness. In several wards, residents cited unfulfilled promises, such as abandoned borehole projects or health posts that were never completed.</w:t>
      </w:r>
    </w:p>
    <w:p w14:paraId="4A6C62FB" w14:textId="77777777" w:rsidR="00056436" w:rsidRDefault="00056436" w:rsidP="00056436"/>
    <w:p w14:paraId="3B1E10E0" w14:textId="77777777" w:rsidR="00056436" w:rsidRPr="008D45EE" w:rsidRDefault="00056436" w:rsidP="008D45EE">
      <w:pPr>
        <w:pBdr>
          <w:left w:val="single" w:sz="4" w:space="4" w:color="auto"/>
        </w:pBdr>
        <w:rPr>
          <w:i/>
          <w:color w:val="4472C4" w:themeColor="accent1"/>
        </w:rPr>
      </w:pPr>
      <w:r w:rsidRPr="008D45EE">
        <w:rPr>
          <w:i/>
          <w:color w:val="4472C4" w:themeColor="accent1"/>
        </w:rPr>
        <w:t>“We only see them during campaigns. Even the borehole they marked last year was never started.”</w:t>
      </w:r>
    </w:p>
    <w:p w14:paraId="0B7A251D" w14:textId="77777777" w:rsidR="00056436" w:rsidRDefault="00056436" w:rsidP="008D45EE">
      <w:pPr>
        <w:pBdr>
          <w:left w:val="single" w:sz="4" w:space="4" w:color="auto"/>
        </w:pBdr>
      </w:pPr>
      <w:r>
        <w:lastRenderedPageBreak/>
        <w:t>— FGD with Men, Lokoro Ward, Guyuk LGA</w:t>
      </w:r>
    </w:p>
    <w:p w14:paraId="4469A050" w14:textId="77777777" w:rsidR="00056436" w:rsidRDefault="00056436" w:rsidP="00056436">
      <w:r>
        <w:t>Despite these challenges, informal community networks—such as religious groups, women’s associations, and youth clubs—continue to provide limited but vital support. These groups often step in to organise clean-ups, share food, or support vulnerable members.</w:t>
      </w:r>
    </w:p>
    <w:p w14:paraId="33F999BF" w14:textId="77777777" w:rsidR="00056436" w:rsidRPr="008D45EE" w:rsidRDefault="00056436" w:rsidP="008D45EE">
      <w:pPr>
        <w:pBdr>
          <w:left w:val="single" w:sz="4" w:space="4" w:color="auto"/>
        </w:pBdr>
        <w:rPr>
          <w:i/>
          <w:color w:val="4472C4" w:themeColor="accent1"/>
        </w:rPr>
      </w:pPr>
      <w:r w:rsidRPr="008D45EE">
        <w:rPr>
          <w:i/>
          <w:color w:val="4472C4" w:themeColor="accent1"/>
        </w:rPr>
        <w:t>“The church does more than preach. They help widows with small business capital and talk to youth about staying away from violence.”</w:t>
      </w:r>
    </w:p>
    <w:p w14:paraId="66D99C22" w14:textId="362E8448" w:rsidR="003E2A3F" w:rsidRDefault="00056436" w:rsidP="008D45EE">
      <w:pPr>
        <w:pBdr>
          <w:left w:val="single" w:sz="4" w:space="4" w:color="auto"/>
        </w:pBdr>
      </w:pPr>
      <w:r>
        <w:t>— FGD with Women, Bobini Ward, Guyuk LGA</w:t>
      </w:r>
      <w:r w:rsidR="25ED15D9">
        <w:t>.</w:t>
      </w:r>
    </w:p>
    <w:p w14:paraId="00000146" w14:textId="1B4951F3" w:rsidR="00D84B93" w:rsidRDefault="00AC6398">
      <w:pPr>
        <w:keepNext/>
      </w:pPr>
      <w:r>
        <w:rPr>
          <w:noProof/>
          <w:color w:val="FFFFFF"/>
        </w:rPr>
        <w:drawing>
          <wp:inline distT="0" distB="0" distL="0" distR="0" wp14:anchorId="31FF7DEA" wp14:editId="318E58B8">
            <wp:extent cx="5715000" cy="2057944"/>
            <wp:effectExtent l="0" t="0" r="0" b="0"/>
            <wp:docPr id="2142450654" name="Chart 2142450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147" w14:textId="77777777" w:rsidR="00D84B93" w:rsidRDefault="00AC6398">
      <w:pPr>
        <w:pBdr>
          <w:top w:val="nil"/>
          <w:left w:val="nil"/>
          <w:bottom w:val="nil"/>
          <w:right w:val="nil"/>
          <w:between w:val="nil"/>
        </w:pBdr>
        <w:spacing w:after="200" w:line="240" w:lineRule="auto"/>
        <w:rPr>
          <w:i/>
          <w:color w:val="44546A"/>
          <w:sz w:val="22"/>
          <w:szCs w:val="22"/>
        </w:rPr>
      </w:pPr>
      <w:bookmarkStart w:id="50" w:name="_heading=h.alokwenmvhgw" w:colFirst="0" w:colLast="0"/>
      <w:bookmarkEnd w:id="50"/>
      <w:r>
        <w:rPr>
          <w:i/>
          <w:color w:val="44546A"/>
          <w:sz w:val="22"/>
          <w:szCs w:val="22"/>
        </w:rPr>
        <w:t>Figure 7 Respondents Access to Services</w:t>
      </w:r>
    </w:p>
    <w:p w14:paraId="0984E344" w14:textId="6DB7852C" w:rsidR="00901044" w:rsidRDefault="00901044" w:rsidP="00901044">
      <w:pPr>
        <w:pBdr>
          <w:top w:val="nil"/>
          <w:left w:val="nil"/>
          <w:bottom w:val="nil"/>
          <w:right w:val="nil"/>
          <w:between w:val="nil"/>
        </w:pBdr>
        <w:spacing w:after="200" w:line="240" w:lineRule="auto"/>
      </w:pPr>
      <w:r>
        <w:t>Access roads remain extremely limited across the three LGAs. Only 4% of wards in Guyuk (1 ward), 5% in Biu (1 ward), and 7% in Kwaya Kusar (1 ward) reported having motorable routes connecting them to nearby towns, markets, schools, and health centres. These roads are typically unpaved and often become impassable during the rainy season. Transport infrastructure including bridges, culverts, and footpaths—is also scarce.</w:t>
      </w:r>
    </w:p>
    <w:p w14:paraId="620B53EE" w14:textId="7768AFD5" w:rsidR="009C6C7D" w:rsidRDefault="00901044" w:rsidP="001635FB">
      <w:r>
        <w:t>The lack of reliable roads significantly affects access to essential services. During heavy rains, many wards become physically isolated, cutting off access to health centres, schools, and markets. In some cases, even motorcycles—the most common form of transport—cannot pass, forcing residents to walk long distances or delay emergency care</w:t>
      </w:r>
      <w:r w:rsidR="45C5A18F">
        <w:t>.</w:t>
      </w:r>
    </w:p>
    <w:p w14:paraId="2AEF41E8" w14:textId="6A68D9D2" w:rsidR="009C6C7D" w:rsidRPr="008D45EE" w:rsidRDefault="009C6C7D" w:rsidP="008D45EE">
      <w:pPr>
        <w:pBdr>
          <w:left w:val="single" w:sz="4" w:space="1" w:color="auto"/>
        </w:pBdr>
        <w:rPr>
          <w:i/>
          <w:color w:val="4472C4" w:themeColor="accent1"/>
        </w:rPr>
      </w:pPr>
      <w:r w:rsidRPr="008D45EE">
        <w:rPr>
          <w:i/>
          <w:color w:val="4472C4" w:themeColor="accent1"/>
        </w:rPr>
        <w:t xml:space="preserve"> “When it rains, we are stuck. No car or bike can pass. Even sick people have to wait or be carried on foot.”</w:t>
      </w:r>
    </w:p>
    <w:p w14:paraId="37C029BD" w14:textId="77777777" w:rsidR="009C6C7D" w:rsidRDefault="009C6C7D" w:rsidP="008D45EE">
      <w:pPr>
        <w:pBdr>
          <w:left w:val="single" w:sz="4" w:space="1" w:color="auto"/>
        </w:pBdr>
      </w:pPr>
      <w:r>
        <w:t xml:space="preserve">— FGD with Men, </w:t>
      </w:r>
      <w:proofErr w:type="spellStart"/>
      <w:r>
        <w:t>Gusi</w:t>
      </w:r>
      <w:proofErr w:type="spellEnd"/>
      <w:r>
        <w:t xml:space="preserve"> Ward, </w:t>
      </w:r>
      <w:proofErr w:type="spellStart"/>
      <w:r>
        <w:t>Kwaya</w:t>
      </w:r>
      <w:proofErr w:type="spellEnd"/>
      <w:r>
        <w:t xml:space="preserve"> Kusar LGA</w:t>
      </w:r>
    </w:p>
    <w:p w14:paraId="4EB9E494" w14:textId="062E6795" w:rsidR="009C6C7D" w:rsidRDefault="00901044" w:rsidP="009C6C7D">
      <w:r w:rsidRPr="00901044">
        <w:t xml:space="preserve">This inaccessibility also disrupts economic activity. Farmers cannot transport produce to markets, traders face delays in restocking goods, and health workers struggle to reach remote communities. In </w:t>
      </w:r>
      <w:proofErr w:type="spellStart"/>
      <w:r w:rsidRPr="00901044">
        <w:t>Buratai</w:t>
      </w:r>
      <w:proofErr w:type="spellEnd"/>
      <w:r w:rsidRPr="00901044">
        <w:t xml:space="preserve"> (Biu) and </w:t>
      </w:r>
      <w:proofErr w:type="spellStart"/>
      <w:r w:rsidRPr="00901044">
        <w:t>Purokayo</w:t>
      </w:r>
      <w:proofErr w:type="spellEnd"/>
      <w:r w:rsidRPr="00901044">
        <w:t xml:space="preserve"> (</w:t>
      </w:r>
      <w:proofErr w:type="spellStart"/>
      <w:r w:rsidRPr="00901044">
        <w:t>Guyuk</w:t>
      </w:r>
      <w:proofErr w:type="spellEnd"/>
      <w:r w:rsidRPr="00901044">
        <w:t>), residents described how poor roads discouraged external support and delayed government or NGO interventions:</w:t>
      </w:r>
      <w:r w:rsidR="00816412">
        <w:t xml:space="preserve"> </w:t>
      </w:r>
    </w:p>
    <w:p w14:paraId="55AADE66" w14:textId="5107495E" w:rsidR="009C6C7D" w:rsidRPr="008D45EE" w:rsidRDefault="009C6C7D" w:rsidP="008D45EE">
      <w:pPr>
        <w:pBdr>
          <w:left w:val="single" w:sz="4" w:space="1" w:color="auto"/>
        </w:pBdr>
        <w:rPr>
          <w:i/>
          <w:color w:val="4472C4" w:themeColor="accent1"/>
        </w:rPr>
      </w:pPr>
      <w:r w:rsidRPr="008D45EE">
        <w:rPr>
          <w:i/>
          <w:color w:val="4472C4" w:themeColor="accent1"/>
        </w:rPr>
        <w:t xml:space="preserve">“They </w:t>
      </w:r>
      <w:r w:rsidR="00901044">
        <w:rPr>
          <w:i/>
          <w:color w:val="4472C4" w:themeColor="accent1"/>
        </w:rPr>
        <w:t>(</w:t>
      </w:r>
      <w:r w:rsidRPr="008D45EE">
        <w:rPr>
          <w:i/>
          <w:color w:val="4472C4" w:themeColor="accent1"/>
        </w:rPr>
        <w:t>NGOs</w:t>
      </w:r>
      <w:r w:rsidR="00901044">
        <w:rPr>
          <w:i/>
          <w:color w:val="4472C4" w:themeColor="accent1"/>
        </w:rPr>
        <w:t>)</w:t>
      </w:r>
      <w:r w:rsidRPr="008D45EE">
        <w:rPr>
          <w:i/>
          <w:color w:val="4472C4" w:themeColor="accent1"/>
        </w:rPr>
        <w:t xml:space="preserve"> promised to bring medicine, but the road was too bad. They turned back.”</w:t>
      </w:r>
    </w:p>
    <w:p w14:paraId="1722D26A" w14:textId="77777777" w:rsidR="009C6C7D" w:rsidRDefault="009C6C7D" w:rsidP="008D45EE">
      <w:pPr>
        <w:pBdr>
          <w:left w:val="single" w:sz="4" w:space="1" w:color="auto"/>
        </w:pBdr>
      </w:pPr>
      <w:r>
        <w:t>— FGD with Women, Buratai Ward, Biu LGA</w:t>
      </w:r>
    </w:p>
    <w:p w14:paraId="0000014A" w14:textId="77777777" w:rsidR="00D84B93" w:rsidRDefault="19D841D6">
      <w:r>
        <w:t xml:space="preserve">Water remains one of the most urgent priorities in community life. Boreholes and water points were reported by 11% of respondents in Guyuk, 9% in Biu, and 15% in Kwaya Kusar. Yet even in wards with existing water infrastructure, FGDs revealed frequent breakdowns, seasonal drying, </w:t>
      </w:r>
      <w:r>
        <w:lastRenderedPageBreak/>
        <w:t>or long walking distances. In Biu, river water was cited as the main drinking source in many wards, while Kwaya Kusar respondents more frequently mentioned hand pumps and dug wells. Rainwater harvesting and piped water were virtually absent in all three LGAs.</w:t>
      </w:r>
    </w:p>
    <w:p w14:paraId="0000014B" w14:textId="77777777" w:rsidR="00D84B93" w:rsidRDefault="00AC6398">
      <w:pPr>
        <w:pBdr>
          <w:left w:val="single" w:sz="4" w:space="4" w:color="000000"/>
        </w:pBdr>
      </w:pPr>
      <w:r w:rsidRPr="003005EE">
        <w:rPr>
          <w:i/>
          <w:color w:val="4472C4" w:themeColor="accent1"/>
        </w:rPr>
        <w:t>“We use the stream, even when it turns brown during the rainy season. The borehole in our area hasn’t worked in months.”</w:t>
      </w:r>
      <w:r>
        <w:br/>
        <w:t>— FGD with Women, Bodeno Ward</w:t>
      </w:r>
    </w:p>
    <w:p w14:paraId="0000014C" w14:textId="77777777" w:rsidR="00D84B93" w:rsidRDefault="00AC6398">
      <w:r>
        <w:t>Schools face similar functional challenges. While some wards have structures, they often lack furniture, teaching materials, or qualified staff. In Dukul, school activities are suspended during rain due to the open-air nature of the learning space.</w:t>
      </w:r>
    </w:p>
    <w:p w14:paraId="0000014D" w14:textId="77777777" w:rsidR="00D84B93" w:rsidRDefault="35E70550" w:rsidP="35E70550">
      <w:pPr>
        <w:pBdr>
          <w:left w:val="single" w:sz="4" w:space="4" w:color="000000"/>
        </w:pBdr>
      </w:pPr>
      <w:r w:rsidRPr="35E70550">
        <w:rPr>
          <w:i/>
          <w:iCs/>
          <w:color w:val="4472C4" w:themeColor="accent1"/>
        </w:rPr>
        <w:t>“There is one school, but it’s just trees and benches. When it rains, there is no class. Our children are behind others.”</w:t>
      </w:r>
      <w:r w:rsidR="00AC6398">
        <w:br/>
      </w:r>
      <w:r>
        <w:t>— FGD with Women, Dukul Ward</w:t>
      </w:r>
    </w:p>
    <w:p w14:paraId="0000014E" w14:textId="77777777" w:rsidR="00D84B93" w:rsidRDefault="00AC6398">
      <w:r>
        <w:t>These service limitations strongly shape community perceptions of government presence and responsiveness. In multiple wards, residents pointed to unfulfilled promises, such as uncompleted borehole projects or delayed rehabilitation of health posts. This has led to widespread scepticism regarding government intentions and delivery capacity.</w:t>
      </w:r>
    </w:p>
    <w:p w14:paraId="0000014F" w14:textId="38E86A8E" w:rsidR="00D84B93" w:rsidRDefault="3146FE87" w:rsidP="3146FE87">
      <w:pPr>
        <w:pBdr>
          <w:left w:val="single" w:sz="4" w:space="4" w:color="000000"/>
        </w:pBdr>
      </w:pPr>
      <w:r w:rsidRPr="3146FE87">
        <w:rPr>
          <w:i/>
          <w:iCs/>
          <w:color w:val="4472C4" w:themeColor="accent1"/>
        </w:rPr>
        <w:t>“We only see them during campaigns. Even the borehole they marked last year was never started.”</w:t>
      </w:r>
      <w:r w:rsidR="00AC6398">
        <w:br/>
      </w:r>
      <w:r>
        <w:t>— FGD with Men, Lokoro Ward</w:t>
      </w:r>
    </w:p>
    <w:p w14:paraId="474CA5E6" w14:textId="52B60875" w:rsidR="00C81767" w:rsidRPr="008D45EE" w:rsidRDefault="00C81767" w:rsidP="3146FE87">
      <w:pPr>
        <w:pBdr>
          <w:left w:val="single" w:sz="4" w:space="4" w:color="000000"/>
        </w:pBdr>
        <w:rPr>
          <w:i/>
        </w:rPr>
      </w:pPr>
      <w:r w:rsidRPr="008D45EE">
        <w:rPr>
          <w:i/>
        </w:rPr>
        <w:t>(Respondents did not specify who made the promise, but the context suggests it was a political figure during campaign season.)</w:t>
      </w:r>
    </w:p>
    <w:p w14:paraId="00000150" w14:textId="72F9BFB9" w:rsidR="00D84B93" w:rsidRDefault="00AC6398">
      <w:r>
        <w:t>Despite these gaps, informal community networks continue to play a critical role in sustaining daily life. Religious organisations, women’s groups, and youth associations often provide limited but meaningful support</w:t>
      </w:r>
      <w:r w:rsidR="003E2A3F">
        <w:t xml:space="preserve">, </w:t>
      </w:r>
      <w:r>
        <w:t>whether through food sharing, vocational skills training, or public sensitisation.</w:t>
      </w:r>
    </w:p>
    <w:p w14:paraId="00000151" w14:textId="77777777" w:rsidR="00D84B93" w:rsidRDefault="00AC6398">
      <w:pPr>
        <w:pBdr>
          <w:left w:val="single" w:sz="4" w:space="4" w:color="000000"/>
        </w:pBdr>
        <w:jc w:val="left"/>
      </w:pPr>
      <w:r w:rsidRPr="003A0D2D">
        <w:rPr>
          <w:i/>
          <w:color w:val="4472C4" w:themeColor="accent1"/>
        </w:rPr>
        <w:t>“The church does more than preach. They help widows with small business capital and talk to youth about staying away from violence.”</w:t>
      </w:r>
      <w:r>
        <w:br/>
        <w:t>— FGD with Women, Bobini Ward</w:t>
      </w:r>
    </w:p>
    <w:p w14:paraId="00000152" w14:textId="77777777" w:rsidR="00D84B93" w:rsidRDefault="00AC6398">
      <w:r>
        <w:t xml:space="preserve">These informal structures offer a layer of resilience, but they remain insufficient to offset the absence of formal infrastructure or public services. The lived experiences across wards reflect a shared desire for equitable access to services and a more reliable public presence. </w:t>
      </w:r>
    </w:p>
    <w:p w14:paraId="00000153" w14:textId="77777777" w:rsidR="00D84B93" w:rsidRDefault="00D84B93"/>
    <w:p w14:paraId="00000154" w14:textId="77777777" w:rsidR="00D84B93" w:rsidRDefault="00AC6398">
      <w:pPr>
        <w:rPr>
          <w:b/>
          <w:color w:val="44841A"/>
        </w:rPr>
      </w:pPr>
      <w:r>
        <w:rPr>
          <w:b/>
          <w:color w:val="44841A"/>
        </w:rPr>
        <w:t>4.2.3 Conflict Patterns and Local Response Systems</w:t>
      </w:r>
    </w:p>
    <w:p w14:paraId="00000155" w14:textId="471D5DFD" w:rsidR="00D84B93" w:rsidRDefault="001B37A9" w:rsidP="00DA0C55">
      <w:r w:rsidRPr="001B37A9">
        <w:t xml:space="preserve">Although </w:t>
      </w:r>
      <w:r w:rsidRPr="001B37A9">
        <w:rPr>
          <w:b/>
          <w:bCs/>
        </w:rPr>
        <w:t>direct violence</w:t>
      </w:r>
      <w:r w:rsidRPr="001B37A9">
        <w:t xml:space="preserve"> was not ongoing in most wards at the time of data collection, the legacy of past conflict and ongoing low-level disputes continues to shape community life across Biu, Guyuk, and Kwaya Kusar.</w:t>
      </w:r>
      <w:r>
        <w:t xml:space="preserve"> S</w:t>
      </w:r>
      <w:r w:rsidR="00AC6398">
        <w:t>urvey data show that the most frequently reported conflict types across LGAs were resource-based disputes</w:t>
      </w:r>
      <w:r w:rsidR="00DA0C55">
        <w:t xml:space="preserve"> - these primarily involve competition over farmland, grazing areas, and water points</w:t>
      </w:r>
      <w:r w:rsidR="00AC6398">
        <w:t xml:space="preserve"> (21%), farmer–herder conflict (14%), and insurgency-related violence (14%). Domestic violence (11%) and political or land-based conflicts (9%) were also reported, though less frequently. </w:t>
      </w:r>
    </w:p>
    <w:p w14:paraId="5B021C00" w14:textId="7D926D90" w:rsidR="00AC2FD9" w:rsidRDefault="00D00EB7">
      <w:r>
        <w:rPr>
          <w:noProof/>
        </w:rPr>
        <w:lastRenderedPageBreak/>
        <mc:AlternateContent>
          <mc:Choice Requires="wps">
            <w:drawing>
              <wp:anchor distT="0" distB="0" distL="114300" distR="114300" simplePos="0" relativeHeight="251666944" behindDoc="0" locked="0" layoutInCell="1" allowOverlap="1" wp14:anchorId="75822BCA" wp14:editId="183EA3DF">
                <wp:simplePos x="0" y="0"/>
                <wp:positionH relativeFrom="column">
                  <wp:posOffset>-2540</wp:posOffset>
                </wp:positionH>
                <wp:positionV relativeFrom="paragraph">
                  <wp:posOffset>2828925</wp:posOffset>
                </wp:positionV>
                <wp:extent cx="5723890" cy="635"/>
                <wp:effectExtent l="0" t="0" r="0" b="0"/>
                <wp:wrapSquare wrapText="bothSides"/>
                <wp:docPr id="487131430" name="Text Box 1"/>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wps:spPr>
                      <wps:txbx>
                        <w:txbxContent>
                          <w:p w14:paraId="503150A0" w14:textId="4E05C366" w:rsidR="00D00EB7" w:rsidRPr="00DA3398" w:rsidRDefault="00D00EB7" w:rsidP="00D00EB7">
                            <w:pPr>
                              <w:pStyle w:val="Caption"/>
                              <w:rPr>
                                <w:noProof/>
                              </w:rPr>
                            </w:pPr>
                            <w:r>
                              <w:t>Figure 8</w:t>
                            </w:r>
                            <w:r w:rsidR="00F06874">
                              <w:t xml:space="preserve"> Conflict type across LGAs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22BCA" id="_x0000_s1034" type="#_x0000_t202" style="position:absolute;left:0;text-align:left;margin-left:-.2pt;margin-top:222.75pt;width:450.7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LlGgIAAD8EAAAOAAAAZHJzL2Uyb0RvYy54bWysU8Fu2zAMvQ/YPwi6L05StMu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" stroked="f">
                <v:textbox style="mso-fit-shape-to-text:t" inset="0,0,0,0">
                  <w:txbxContent>
                    <w:p w14:paraId="503150A0" w14:textId="4E05C366" w:rsidR="00D00EB7" w:rsidRPr="00DA3398" w:rsidRDefault="00D00EB7" w:rsidP="00D00EB7">
                      <w:pPr>
                        <w:pStyle w:val="Caption"/>
                        <w:rPr>
                          <w:noProof/>
                        </w:rPr>
                      </w:pPr>
                      <w:r>
                        <w:t>Figure 8</w:t>
                      </w:r>
                      <w:r w:rsidR="00F06874">
                        <w:t xml:space="preserve"> Conflict type across LGAs</w:t>
                      </w:r>
                    </w:p>
                  </w:txbxContent>
                </v:textbox>
                <w10:wrap type="square"/>
              </v:shape>
            </w:pict>
          </mc:Fallback>
        </mc:AlternateContent>
      </w:r>
      <w:r w:rsidR="00AC2FD9">
        <w:rPr>
          <w:noProof/>
        </w:rPr>
        <w:drawing>
          <wp:anchor distT="0" distB="0" distL="114300" distR="114300" simplePos="0" relativeHeight="251656704" behindDoc="0" locked="0" layoutInCell="1" hidden="0" allowOverlap="1" wp14:anchorId="3CEE5519" wp14:editId="2A1C59D1">
            <wp:simplePos x="0" y="0"/>
            <wp:positionH relativeFrom="margin">
              <wp:align>right</wp:align>
            </wp:positionH>
            <wp:positionV relativeFrom="paragraph">
              <wp:posOffset>622935</wp:posOffset>
            </wp:positionV>
            <wp:extent cx="5723890" cy="2148840"/>
            <wp:effectExtent l="0" t="0" r="10160" b="3810"/>
            <wp:wrapSquare wrapText="bothSides" distT="0" distB="0" distL="114300" distR="114300"/>
            <wp:docPr id="2142450651" name="Chart 2142450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C2FD9" w:rsidRPr="00AC2FD9">
        <w:t>Conflict exposure varies across LGAs. In Guyuk, resource-based disputes were the most frequently reported, accounting for 35% of all conflict mentions, compared to 5% in Biu and 17% in Kwaya Kusar. These disputes in Guyuk often revolve around land boundaries, water access, and farmland ownership, particularly in wards like Lokoro and Banjiram, where population pressure and returnee resettlement have intensified competition over arable land.</w:t>
      </w:r>
    </w:p>
    <w:p w14:paraId="33F40137" w14:textId="77777777" w:rsidR="00AC2FD9" w:rsidRPr="008D45EE" w:rsidRDefault="00AC2FD9" w:rsidP="008D45EE">
      <w:pPr>
        <w:pBdr>
          <w:left w:val="single" w:sz="4" w:space="4" w:color="auto"/>
        </w:pBdr>
        <w:rPr>
          <w:i/>
          <w:color w:val="4472C4" w:themeColor="accent1"/>
        </w:rPr>
      </w:pPr>
      <w:r w:rsidRPr="008D45EE">
        <w:rPr>
          <w:i/>
          <w:color w:val="4472C4" w:themeColor="accent1"/>
        </w:rPr>
        <w:t>“We have more people now, but the land is the same. Some families fight over who owns what, especially when outsiders return.”</w:t>
      </w:r>
    </w:p>
    <w:p w14:paraId="1157828C" w14:textId="32DF6C34" w:rsidR="00AC2FD9" w:rsidRDefault="00AC2FD9" w:rsidP="008D45EE">
      <w:pPr>
        <w:pBdr>
          <w:left w:val="single" w:sz="4" w:space="4" w:color="auto"/>
        </w:pBdr>
      </w:pPr>
      <w:r>
        <w:t>— FGD with Men, Lokoro Ward, Guyuk LGA</w:t>
      </w:r>
    </w:p>
    <w:p w14:paraId="467BFB13" w14:textId="79FE6E2C" w:rsidR="001B0D6A" w:rsidRDefault="001B0D6A">
      <w:r w:rsidRPr="001B0D6A">
        <w:t>In contrast, Biu reported a higher prevalence of insurgency-related and farmer–herder conflicts, while Kwaya Kusar showed a more even distribution of conflict types, including domestic and political disputes.</w:t>
      </w:r>
    </w:p>
    <w:p w14:paraId="00000156" w14:textId="5CE8BDC6" w:rsidR="00D84B93" w:rsidRDefault="00AC6398">
      <w:r>
        <w:t>In Biu, insurgency and farmer</w:t>
      </w:r>
      <w:r w:rsidR="001B37A9">
        <w:t>-</w:t>
      </w:r>
      <w:r>
        <w:t xml:space="preserve">herder tensions dominated, especially in </w:t>
      </w:r>
      <w:proofErr w:type="spellStart"/>
      <w:r>
        <w:t>Buratai</w:t>
      </w:r>
      <w:proofErr w:type="spellEnd"/>
      <w:r>
        <w:t xml:space="preserve"> and </w:t>
      </w:r>
      <w:proofErr w:type="spellStart"/>
      <w:r>
        <w:t>Dugja</w:t>
      </w:r>
      <w:proofErr w:type="spellEnd"/>
      <w:r>
        <w:t xml:space="preserve"> Wards. Respondents noted that while direct attacks have declined, the threat of sporadic violence remains </w:t>
      </w:r>
      <w:r w:rsidR="0009280D">
        <w:rPr>
          <w:noProof/>
        </w:rPr>
        <mc:AlternateContent>
          <mc:Choice Requires="wps">
            <w:drawing>
              <wp:anchor distT="0" distB="0" distL="114300" distR="114300" simplePos="0" relativeHeight="251646464" behindDoc="0" locked="0" layoutInCell="1" allowOverlap="1" wp14:anchorId="44C2B630" wp14:editId="2FC27615">
                <wp:simplePos x="0" y="0"/>
                <wp:positionH relativeFrom="margin">
                  <wp:align>left</wp:align>
                </wp:positionH>
                <wp:positionV relativeFrom="paragraph">
                  <wp:posOffset>2795402</wp:posOffset>
                </wp:positionV>
                <wp:extent cx="5723890" cy="635"/>
                <wp:effectExtent l="0" t="0" r="0" b="1270"/>
                <wp:wrapSquare wrapText="bothSides"/>
                <wp:docPr id="1526713938" name="Text Box 1"/>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wps:spPr>
                      <wps:txbx>
                        <w:txbxContent>
                          <w:p w14:paraId="1736DF8A" w14:textId="7DEAC98F" w:rsidR="009C3983" w:rsidRPr="009673FB" w:rsidRDefault="009C3983" w:rsidP="0009280D">
                            <w:pPr>
                              <w:pStyle w:val="Caption"/>
                            </w:pPr>
                            <w:bookmarkStart w:id="51" w:name="_Toc199282281"/>
                            <w:r w:rsidRPr="009673FB">
                              <w:t xml:space="preserve">Figure </w:t>
                            </w:r>
                            <w:r>
                              <w:fldChar w:fldCharType="begin"/>
                            </w:r>
                            <w:r>
                              <w:instrText>SEQ Figure \* ARABIC</w:instrText>
                            </w:r>
                            <w:r>
                              <w:fldChar w:fldCharType="separate"/>
                            </w:r>
                            <w:r w:rsidR="00F06874">
                              <w:rPr>
                                <w:noProof/>
                              </w:rPr>
                              <w:t>6</w:t>
                            </w:r>
                            <w:r>
                              <w:fldChar w:fldCharType="end"/>
                            </w:r>
                            <w:r w:rsidRPr="009673FB">
                              <w:t xml:space="preserve"> Types of conflict in surveyed communities</w:t>
                            </w:r>
                            <w:bookmarkEnd w:id="51"/>
                            <w:r w:rsidRPr="009673F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2B630" id="_x0000_s1035" type="#_x0000_t202" style="position:absolute;left:0;text-align:left;margin-left:0;margin-top:220.1pt;width:450.7pt;height:.05pt;z-index:251646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bAGgIAAD8EAAAOAAAAZHJzL2Uyb0RvYy54bWysU8Fu2zAMvQ/YPwi6L05StGu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" stroked="f">
                <v:textbox style="mso-fit-shape-to-text:t" inset="0,0,0,0">
                  <w:txbxContent>
                    <w:p w14:paraId="1736DF8A" w14:textId="7DEAC98F" w:rsidR="009C3983" w:rsidRPr="009673FB" w:rsidRDefault="009C3983" w:rsidP="0009280D">
                      <w:pPr>
                        <w:pStyle w:val="Caption"/>
                      </w:pPr>
                      <w:bookmarkStart w:id="52" w:name="_Toc199282281"/>
                      <w:r w:rsidRPr="009673FB">
                        <w:t xml:space="preserve">Figure </w:t>
                      </w:r>
                      <w:r>
                        <w:fldChar w:fldCharType="begin"/>
                      </w:r>
                      <w:r>
                        <w:instrText>SEQ Figure \* ARABIC</w:instrText>
                      </w:r>
                      <w:r>
                        <w:fldChar w:fldCharType="separate"/>
                      </w:r>
                      <w:r w:rsidR="00F06874">
                        <w:rPr>
                          <w:noProof/>
                        </w:rPr>
                        <w:t>6</w:t>
                      </w:r>
                      <w:r>
                        <w:fldChar w:fldCharType="end"/>
                      </w:r>
                      <w:r w:rsidRPr="009673FB">
                        <w:t xml:space="preserve"> Types of conflict in surveyed communities</w:t>
                      </w:r>
                      <w:bookmarkEnd w:id="52"/>
                      <w:r w:rsidRPr="009673FB">
                        <w:t xml:space="preserve"> </w:t>
                      </w:r>
                    </w:p>
                  </w:txbxContent>
                </v:textbox>
                <w10:wrap type="square" anchorx="margin"/>
              </v:shape>
            </w:pict>
          </mc:Fallback>
        </mc:AlternateContent>
      </w:r>
      <w:r>
        <w:t>present.</w:t>
      </w:r>
      <w:r>
        <w:rPr>
          <w:noProof/>
        </w:rPr>
        <mc:AlternateContent>
          <mc:Choice Requires="wps">
            <w:drawing>
              <wp:anchor distT="0" distB="0" distL="114300" distR="114300" simplePos="0" relativeHeight="251645440" behindDoc="0" locked="0" layoutInCell="1" hidden="0" allowOverlap="1" wp14:anchorId="1DB1C405" wp14:editId="126A7B58">
                <wp:simplePos x="0" y="0"/>
                <wp:positionH relativeFrom="column">
                  <wp:posOffset>25401</wp:posOffset>
                </wp:positionH>
                <wp:positionV relativeFrom="paragraph">
                  <wp:posOffset>2565400</wp:posOffset>
                </wp:positionV>
                <wp:extent cx="635" cy="12700"/>
                <wp:effectExtent l="0" t="0" r="0" b="0"/>
                <wp:wrapSquare wrapText="bothSides" distT="0" distB="0" distL="114300" distR="114300"/>
                <wp:docPr id="2142450661" name="Rectangle 2142450661"/>
                <wp:cNvGraphicFramePr/>
                <a:graphic xmlns:a="http://schemas.openxmlformats.org/drawingml/2006/main">
                  <a:graphicData uri="http://schemas.microsoft.com/office/word/2010/wordprocessingShape">
                    <wps:wsp>
                      <wps:cNvSpPr/>
                      <wps:spPr>
                        <a:xfrm>
                          <a:off x="2484055" y="3779683"/>
                          <a:ext cx="5723890" cy="635"/>
                        </a:xfrm>
                        <a:prstGeom prst="rect">
                          <a:avLst/>
                        </a:prstGeom>
                        <a:solidFill>
                          <a:srgbClr val="FFFFFF"/>
                        </a:solidFill>
                        <a:ln>
                          <a:noFill/>
                        </a:ln>
                      </wps:spPr>
                      <wps:txbx>
                        <w:txbxContent>
                          <w:p w14:paraId="4B2EF16C" w14:textId="77777777" w:rsidR="009C3983" w:rsidRDefault="009C3983">
                            <w:pPr>
                              <w:spacing w:after="200" w:line="240" w:lineRule="auto"/>
                              <w:jc w:val="left"/>
                              <w:textDirection w:val="btLr"/>
                            </w:pPr>
                            <w:r>
                              <w:rPr>
                                <w:rFonts w:ascii="Arial" w:eastAsia="Arial" w:hAnsi="Arial" w:cs="Arial"/>
                                <w:i/>
                                <w:color w:val="44546A"/>
                                <w:sz w:val="22"/>
                              </w:rPr>
                              <w:t xml:space="preserve">Figure  SEQ Figure \* ARABIC 8 Types of conflict in surveyed communities </w:t>
                            </w:r>
                          </w:p>
                        </w:txbxContent>
                      </wps:txbx>
                      <wps:bodyPr spcFirstLastPara="1" wrap="square" lIns="0" tIns="0" rIns="0" bIns="0" anchor="t" anchorCtr="0">
                        <a:noAutofit/>
                      </wps:bodyPr>
                    </wps:wsp>
                  </a:graphicData>
                </a:graphic>
              </wp:anchor>
            </w:drawing>
          </mc:Choice>
          <mc:Fallback>
            <w:pict>
              <v:rect w14:anchorId="1DB1C405" id="Rectangle 2142450661" o:spid="_x0000_s1036" style="position:absolute;left:0;text-align:left;margin-left:2pt;margin-top:202pt;width:.05pt;height:1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" stroked="f">
                <v:textbox inset="0,0,0,0">
                  <w:txbxContent>
                    <w:p w14:paraId="4B2EF16C" w14:textId="77777777" w:rsidR="009C3983" w:rsidRDefault="009C3983">
                      <w:pPr>
                        <w:spacing w:after="200" w:line="240" w:lineRule="auto"/>
                        <w:jc w:val="left"/>
                        <w:textDirection w:val="btLr"/>
                      </w:pPr>
                      <w:r>
                        <w:rPr>
                          <w:rFonts w:ascii="Arial" w:eastAsia="Arial" w:hAnsi="Arial" w:cs="Arial"/>
                          <w:i/>
                          <w:color w:val="44546A"/>
                          <w:sz w:val="22"/>
                        </w:rPr>
                        <w:t xml:space="preserve">Figure  SEQ Figure \* ARABIC 8 Types of conflict in surveyed communities </w:t>
                      </w:r>
                    </w:p>
                  </w:txbxContent>
                </v:textbox>
                <w10:wrap type="square"/>
              </v:rect>
            </w:pict>
          </mc:Fallback>
        </mc:AlternateContent>
      </w:r>
    </w:p>
    <w:p w14:paraId="00000157" w14:textId="6E1C2F9F" w:rsidR="00D84B93" w:rsidRDefault="00AC6398">
      <w:pPr>
        <w:pBdr>
          <w:left w:val="single" w:sz="4" w:space="4" w:color="000000"/>
        </w:pBdr>
        <w:jc w:val="left"/>
      </w:pPr>
      <w:r w:rsidRPr="003A0D2D">
        <w:rPr>
          <w:i/>
          <w:color w:val="4472C4" w:themeColor="accent1"/>
        </w:rPr>
        <w:t>“There are no attacks now, but we still don’t farm near the forest. People are scared of ambushes.”</w:t>
      </w:r>
      <w:r>
        <w:br/>
        <w:t xml:space="preserve">— FGD with Men, </w:t>
      </w:r>
      <w:proofErr w:type="spellStart"/>
      <w:r>
        <w:t>Dugja</w:t>
      </w:r>
      <w:proofErr w:type="spellEnd"/>
      <w:r>
        <w:t xml:space="preserve"> Ward</w:t>
      </w:r>
    </w:p>
    <w:p w14:paraId="00000158" w14:textId="7548FA1D" w:rsidR="00D84B93" w:rsidRDefault="5AE45022">
      <w:r>
        <w:t>In Kwaya Kusar, the most cited issue was domestic violence, with women and youth describing frequent disputes within households and between families over inheritance, land access, and gender roles. While these incidences rarely escalate into open violence, they contribute to underlying tension.</w:t>
      </w:r>
    </w:p>
    <w:p w14:paraId="00000159" w14:textId="77777777" w:rsidR="00D84B93" w:rsidRDefault="00AC6398">
      <w:pPr>
        <w:pBdr>
          <w:left w:val="single" w:sz="4" w:space="4" w:color="000000"/>
        </w:pBdr>
        <w:jc w:val="left"/>
      </w:pPr>
      <w:r w:rsidRPr="003A0D2D">
        <w:rPr>
          <w:i/>
          <w:color w:val="4472C4" w:themeColor="accent1"/>
        </w:rPr>
        <w:t xml:space="preserve">“Men beat their wives over food or small arguments. There </w:t>
      </w:r>
      <w:proofErr w:type="gramStart"/>
      <w:r w:rsidRPr="003A0D2D">
        <w:rPr>
          <w:i/>
          <w:color w:val="4472C4" w:themeColor="accent1"/>
        </w:rPr>
        <w:t>is</w:t>
      </w:r>
      <w:proofErr w:type="gramEnd"/>
      <w:r w:rsidRPr="003A0D2D">
        <w:rPr>
          <w:i/>
          <w:color w:val="4472C4" w:themeColor="accent1"/>
        </w:rPr>
        <w:t xml:space="preserve"> no police here, so elders just warn them or tell the woman to endure.”</w:t>
      </w:r>
      <w:r>
        <w:br/>
        <w:t xml:space="preserve">— FGD with Women, </w:t>
      </w:r>
      <w:proofErr w:type="spellStart"/>
      <w:r>
        <w:t>Gusi</w:t>
      </w:r>
      <w:proofErr w:type="spellEnd"/>
      <w:r>
        <w:t xml:space="preserve"> Ward</w:t>
      </w:r>
    </w:p>
    <w:p w14:paraId="0000015A" w14:textId="77777777" w:rsidR="00D84B93" w:rsidRDefault="00AC6398">
      <w:r>
        <w:t xml:space="preserve">Disputes over land ownership, grazing access, and boundary lines were reported in several wards. In Lokoro (Guyuk), a prolonged land conflict between the </w:t>
      </w:r>
      <w:proofErr w:type="spellStart"/>
      <w:r>
        <w:t>Lamza</w:t>
      </w:r>
      <w:proofErr w:type="spellEnd"/>
      <w:r>
        <w:t xml:space="preserve"> and Kawa communities led to </w:t>
      </w:r>
      <w:r>
        <w:lastRenderedPageBreak/>
        <w:t>property damage and temporary displacement. The dispute was reportedly de-escalated through traditional mediation.</w:t>
      </w:r>
    </w:p>
    <w:p w14:paraId="0000015B" w14:textId="77777777" w:rsidR="00D84B93" w:rsidRDefault="00AC6398">
      <w:pPr>
        <w:pBdr>
          <w:left w:val="single" w:sz="4" w:space="4" w:color="000000"/>
        </w:pBdr>
        <w:jc w:val="left"/>
      </w:pPr>
      <w:r w:rsidRPr="003A0D2D">
        <w:rPr>
          <w:i/>
          <w:color w:val="4472C4" w:themeColor="accent1"/>
        </w:rPr>
        <w:t>“The King of Lunguda Land is still deliberating on our land conflict to ensure lasting peace.”</w:t>
      </w:r>
      <w:r>
        <w:br/>
        <w:t>— FGD with Men, Lokoro Ward</w:t>
      </w:r>
    </w:p>
    <w:p w14:paraId="0000015C" w14:textId="0BB0111E" w:rsidR="00D84B93" w:rsidRDefault="75BF0008">
      <w:r>
        <w:t>Across all three LGAs, traditional and religious leaders were cited as the primary actors in resolving conflict. These local systems are the first point of recourse in most wards, followed by village elders and community associations. Police involvement was rare, partly due to distance and partly due to distrust or fear of escalation. In a few instances, youth leaders or informal security groups were mentioned as playing a preventive role.</w:t>
      </w:r>
    </w:p>
    <w:p w14:paraId="0000015D" w14:textId="77777777" w:rsidR="00D84B93" w:rsidRDefault="00AC6398">
      <w:pPr>
        <w:pBdr>
          <w:left w:val="single" w:sz="4" w:space="4" w:color="000000"/>
        </w:pBdr>
        <w:jc w:val="left"/>
      </w:pPr>
      <w:r w:rsidRPr="003A0D2D">
        <w:rPr>
          <w:i/>
          <w:color w:val="4472C4" w:themeColor="accent1"/>
        </w:rPr>
        <w:t>“When there’s a fight, the chief gathers the elders and the people involved. They talk it through and settle it with prayers or compensation.”</w:t>
      </w:r>
      <w:r>
        <w:br/>
        <w:t xml:space="preserve">— FGD with Men, </w:t>
      </w:r>
      <w:proofErr w:type="spellStart"/>
      <w:r>
        <w:t>Zarawuyaku</w:t>
      </w:r>
      <w:proofErr w:type="spellEnd"/>
      <w:r>
        <w:t xml:space="preserve"> Ward</w:t>
      </w:r>
    </w:p>
    <w:p w14:paraId="0000015E" w14:textId="2E070C2F" w:rsidR="00D84B93" w:rsidRDefault="16EC0DB3">
      <w:r>
        <w:t xml:space="preserve">While these systems are widely respected, respondents in multiple wards noted that not all groups benefit equally. Women, youth, and returnees are less likely to be involved in dispute resolution, and in some cases, decisions made by traditional leaders were described as favouring dominant families or ethnic groups; noted a respondent. </w:t>
      </w:r>
    </w:p>
    <w:p w14:paraId="0000015F" w14:textId="77777777" w:rsidR="00D84B93" w:rsidRDefault="00AC6398">
      <w:pPr>
        <w:rPr>
          <w:b/>
          <w:color w:val="44841A"/>
        </w:rPr>
      </w:pPr>
      <w:r>
        <w:rPr>
          <w:b/>
          <w:color w:val="44841A"/>
        </w:rPr>
        <w:t>4.2.4 Participation, Inclusion, and Emerging Risks</w:t>
      </w:r>
    </w:p>
    <w:p w14:paraId="00000160" w14:textId="3D487381" w:rsidR="00D84B93" w:rsidRDefault="00AC6398">
      <w:r>
        <w:t xml:space="preserve">Participation in community decision-making remains uneven, and exclusion across gender, age, </w:t>
      </w:r>
      <w:r w:rsidR="00D86A73">
        <w:t xml:space="preserve">migration </w:t>
      </w:r>
      <w:r>
        <w:t>status, and physical ability is limited by entrenched socio-cultural norms. Although 68% of group members across the LGAs are women, only 26% of respondents said women actively contribute to discussions or decision-making in their Community Action Groups (CAGs). Disaggregated by LGA, only 19% in Biu and 19% in Kwaya Kusar affirmed women’s active participation, while Guyuk had a higher proportion at 35%.</w:t>
      </w:r>
      <w:r>
        <w:rPr>
          <w:noProof/>
        </w:rPr>
        <w:drawing>
          <wp:anchor distT="0" distB="0" distL="114300" distR="114300" simplePos="0" relativeHeight="251657728" behindDoc="0" locked="0" layoutInCell="1" hidden="0" allowOverlap="1" wp14:anchorId="3C27EDD2" wp14:editId="1A0A8E67">
            <wp:simplePos x="0" y="0"/>
            <wp:positionH relativeFrom="column">
              <wp:posOffset>3231514</wp:posOffset>
            </wp:positionH>
            <wp:positionV relativeFrom="paragraph">
              <wp:posOffset>172363</wp:posOffset>
            </wp:positionV>
            <wp:extent cx="2499995" cy="2013585"/>
            <wp:effectExtent l="0" t="0" r="0" b="0"/>
            <wp:wrapSquare wrapText="bothSides" distT="0" distB="0" distL="114300" distR="114300"/>
            <wp:docPr id="2142450648" name="Chart 2142450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00000161" w14:textId="77777777" w:rsidR="00D84B93" w:rsidRDefault="00AC6398">
      <w:r>
        <w:t>These figures align with qualitative findings from across the wards. In Banjiram and Bobini, women described participation as symbolic rather than meaningful. In many cases, women are physically present but rarely allowed to speak, or their contributions are undervalued.</w:t>
      </w:r>
      <w:r>
        <w:rPr>
          <w:noProof/>
        </w:rPr>
        <mc:AlternateContent>
          <mc:Choice Requires="wps">
            <w:drawing>
              <wp:anchor distT="0" distB="0" distL="114300" distR="114300" simplePos="0" relativeHeight="251658752" behindDoc="0" locked="0" layoutInCell="1" hidden="0" allowOverlap="1" wp14:anchorId="12F7ED36" wp14:editId="2205B812">
                <wp:simplePos x="0" y="0"/>
                <wp:positionH relativeFrom="column">
                  <wp:posOffset>3225800</wp:posOffset>
                </wp:positionH>
                <wp:positionV relativeFrom="paragraph">
                  <wp:posOffset>152400</wp:posOffset>
                </wp:positionV>
                <wp:extent cx="2509520" cy="194310"/>
                <wp:effectExtent l="0" t="0" r="0" b="0"/>
                <wp:wrapSquare wrapText="bothSides" distT="0" distB="0" distL="114300" distR="114300"/>
                <wp:docPr id="2142450662" name="Rectangle 2142450662"/>
                <wp:cNvGraphicFramePr/>
                <a:graphic xmlns:a="http://schemas.openxmlformats.org/drawingml/2006/main">
                  <a:graphicData uri="http://schemas.microsoft.com/office/word/2010/wordprocessingShape">
                    <wps:wsp>
                      <wps:cNvSpPr/>
                      <wps:spPr>
                        <a:xfrm>
                          <a:off x="4096003" y="3687608"/>
                          <a:ext cx="2499995" cy="184785"/>
                        </a:xfrm>
                        <a:prstGeom prst="rect">
                          <a:avLst/>
                        </a:prstGeom>
                        <a:solidFill>
                          <a:srgbClr val="FFFFFF"/>
                        </a:solidFill>
                        <a:ln>
                          <a:noFill/>
                        </a:ln>
                      </wps:spPr>
                      <wps:txbx>
                        <w:txbxContent>
                          <w:p w14:paraId="2E078717" w14:textId="42837D3E" w:rsidR="009C3983" w:rsidRPr="00F06874" w:rsidRDefault="009C3983" w:rsidP="0009280D">
                            <w:pPr>
                              <w:pStyle w:val="Caption"/>
                              <w:rPr>
                                <w:noProof/>
                                <w:color w:val="4472C4" w:themeColor="accent1"/>
                              </w:rPr>
                            </w:pPr>
                            <w:bookmarkStart w:id="53" w:name="_Toc199282282"/>
                            <w:r w:rsidRPr="00F06874">
                              <w:rPr>
                                <w:color w:val="4472C4" w:themeColor="accent1"/>
                              </w:rPr>
                              <w:t xml:space="preserve">Figure </w:t>
                            </w:r>
                            <w:r w:rsidR="00D00EB7" w:rsidRPr="00F06874">
                              <w:rPr>
                                <w:color w:val="4472C4" w:themeColor="accent1"/>
                              </w:rPr>
                              <w:t>9</w:t>
                            </w:r>
                            <w:r w:rsidRPr="00F06874">
                              <w:rPr>
                                <w:color w:val="4472C4" w:themeColor="accent1"/>
                              </w:rPr>
                              <w:t xml:space="preserve"> Percentage female group members</w:t>
                            </w:r>
                            <w:bookmarkEnd w:id="53"/>
                          </w:p>
                          <w:p w14:paraId="4B1C358C" w14:textId="7A83D176" w:rsidR="009C3983" w:rsidRPr="00F06874" w:rsidRDefault="009C3983">
                            <w:pPr>
                              <w:spacing w:after="200" w:line="240" w:lineRule="auto"/>
                              <w:jc w:val="left"/>
                              <w:textDirection w:val="btLr"/>
                              <w:rPr>
                                <w:color w:val="4472C4" w:themeColor="accent1"/>
                              </w:rPr>
                            </w:pPr>
                            <w:r w:rsidRPr="00F06874">
                              <w:rPr>
                                <w:rFonts w:ascii="Arial" w:eastAsia="Arial" w:hAnsi="Arial" w:cs="Arial"/>
                                <w:i/>
                                <w:color w:val="4472C4" w:themeColor="accent1"/>
                                <w:sz w:val="22"/>
                              </w:rPr>
                              <w:t>Percentage female group members</w:t>
                            </w:r>
                          </w:p>
                        </w:txbxContent>
                      </wps:txbx>
                      <wps:bodyPr spcFirstLastPara="1" wrap="square" lIns="0" tIns="0" rIns="0" bIns="0" anchor="t" anchorCtr="0">
                        <a:noAutofit/>
                      </wps:bodyPr>
                    </wps:wsp>
                  </a:graphicData>
                </a:graphic>
              </wp:anchor>
            </w:drawing>
          </mc:Choice>
          <mc:Fallback>
            <w:pict>
              <v:rect w14:anchorId="12F7ED36" id="Rectangle 2142450662" o:spid="_x0000_s1037" style="position:absolute;left:0;text-align:left;margin-left:254pt;margin-top:12pt;width:197.6pt;height:15.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" stroked="f">
                <v:textbox inset="0,0,0,0">
                  <w:txbxContent>
                    <w:p w14:paraId="2E078717" w14:textId="42837D3E" w:rsidR="009C3983" w:rsidRPr="00F06874" w:rsidRDefault="009C3983" w:rsidP="0009280D">
                      <w:pPr>
                        <w:pStyle w:val="Caption"/>
                        <w:rPr>
                          <w:noProof/>
                          <w:color w:val="4472C4" w:themeColor="accent1"/>
                        </w:rPr>
                      </w:pPr>
                      <w:bookmarkStart w:id="54" w:name="_Toc199282282"/>
                      <w:r w:rsidRPr="00F06874">
                        <w:rPr>
                          <w:color w:val="4472C4" w:themeColor="accent1"/>
                        </w:rPr>
                        <w:t xml:space="preserve">Figure </w:t>
                      </w:r>
                      <w:r w:rsidR="00D00EB7" w:rsidRPr="00F06874">
                        <w:rPr>
                          <w:color w:val="4472C4" w:themeColor="accent1"/>
                        </w:rPr>
                        <w:t>9</w:t>
                      </w:r>
                      <w:r w:rsidRPr="00F06874">
                        <w:rPr>
                          <w:color w:val="4472C4" w:themeColor="accent1"/>
                        </w:rPr>
                        <w:t xml:space="preserve"> Percentage female group members</w:t>
                      </w:r>
                      <w:bookmarkEnd w:id="54"/>
                    </w:p>
                    <w:p w14:paraId="4B1C358C" w14:textId="7A83D176" w:rsidR="009C3983" w:rsidRPr="00F06874" w:rsidRDefault="009C3983">
                      <w:pPr>
                        <w:spacing w:after="200" w:line="240" w:lineRule="auto"/>
                        <w:jc w:val="left"/>
                        <w:textDirection w:val="btLr"/>
                        <w:rPr>
                          <w:color w:val="4472C4" w:themeColor="accent1"/>
                        </w:rPr>
                      </w:pPr>
                      <w:r w:rsidRPr="00F06874">
                        <w:rPr>
                          <w:rFonts w:ascii="Arial" w:eastAsia="Arial" w:hAnsi="Arial" w:cs="Arial"/>
                          <w:i/>
                          <w:color w:val="4472C4" w:themeColor="accent1"/>
                          <w:sz w:val="22"/>
                        </w:rPr>
                        <w:t>Percentage female group members</w:t>
                      </w:r>
                    </w:p>
                  </w:txbxContent>
                </v:textbox>
                <w10:wrap type="square"/>
              </v:rect>
            </w:pict>
          </mc:Fallback>
        </mc:AlternateContent>
      </w:r>
    </w:p>
    <w:p w14:paraId="00000162" w14:textId="77777777" w:rsidR="00D84B93" w:rsidRDefault="00AC6398">
      <w:pPr>
        <w:pBdr>
          <w:left w:val="single" w:sz="4" w:space="4" w:color="000000"/>
        </w:pBdr>
        <w:jc w:val="left"/>
      </w:pPr>
      <w:r w:rsidRPr="003A0D2D">
        <w:rPr>
          <w:i/>
          <w:color w:val="4472C4" w:themeColor="accent1"/>
        </w:rPr>
        <w:t>“When our community gathers to make decisions, women are invited, but we're often expected to listen more than speak. Men dominate the discussions.”</w:t>
      </w:r>
      <w:r>
        <w:br/>
        <w:t>— FGD with Women, Lokoro Ward</w:t>
      </w:r>
    </w:p>
    <w:p w14:paraId="00000164" w14:textId="5790B408" w:rsidR="00D84B93" w:rsidRDefault="584B6335" w:rsidP="584B6335">
      <w:pPr>
        <w:pBdr>
          <w:left w:val="single" w:sz="4" w:space="4" w:color="000000"/>
        </w:pBdr>
        <w:jc w:val="left"/>
      </w:pPr>
      <w:r w:rsidRPr="584B6335">
        <w:rPr>
          <w:i/>
          <w:iCs/>
          <w:color w:val="4472C4" w:themeColor="accent1"/>
        </w:rPr>
        <w:t>“Some women fear backlash from their husbands or families if they get involved in community leadership. There’s also fear of failing or being blamed if something goes wrong.”</w:t>
      </w:r>
      <w:r w:rsidR="00AC6398">
        <w:br/>
      </w:r>
      <w:r>
        <w:t xml:space="preserve">— FGD with Women, </w:t>
      </w:r>
      <w:proofErr w:type="spellStart"/>
      <w:r>
        <w:t>Zarawuyaku</w:t>
      </w:r>
      <w:proofErr w:type="spellEnd"/>
      <w:r>
        <w:t xml:space="preserve"> Ward</w:t>
      </w:r>
      <w:r w:rsidR="00097508">
        <w:t>, Biu LGA, Borno State</w:t>
      </w:r>
    </w:p>
    <w:p w14:paraId="00000165" w14:textId="54A80D88" w:rsidR="00D84B93" w:rsidRDefault="584B6335">
      <w:r>
        <w:t xml:space="preserve">Youth inclusion is similarly constrained. While they represent a major demographic group, they are often invited only for task-oriented roles such as cleaning or community mobilisation, not for </w:t>
      </w:r>
      <w:r>
        <w:lastRenderedPageBreak/>
        <w:t>strategic discussions. Across FGDs, youth repeatedly described feeling unheard or tokenised in decision-making spaces.</w:t>
      </w:r>
    </w:p>
    <w:p w14:paraId="00000166" w14:textId="77777777" w:rsidR="00D84B93" w:rsidRDefault="00AC6398">
      <w:pPr>
        <w:pBdr>
          <w:left w:val="single" w:sz="4" w:space="4" w:color="000000"/>
        </w:pBdr>
        <w:jc w:val="left"/>
      </w:pPr>
      <w:r w:rsidRPr="003A0D2D">
        <w:rPr>
          <w:i/>
          <w:color w:val="4472C4" w:themeColor="accent1"/>
        </w:rPr>
        <w:t>“Youth are hardly invited unless it’s something about sports or cleaning. Even when we are there, the elders make the decisions.”</w:t>
      </w:r>
      <w:r>
        <w:br/>
        <w:t>— FGD with Youth, Biu LGA</w:t>
      </w:r>
    </w:p>
    <w:p w14:paraId="00000167" w14:textId="5A8E4559" w:rsidR="00D84B93" w:rsidRDefault="00AC6398">
      <w:r>
        <w:t xml:space="preserve">Displaced populations and persons with disabilities face additional layers of </w:t>
      </w:r>
      <w:proofErr w:type="spellStart"/>
      <w:r w:rsidR="00335256">
        <w:t>inclu</w:t>
      </w:r>
      <w:proofErr w:type="spellEnd"/>
      <w:r>
        <w:t>. Despite long-term residence, IDPs in Guyuk and Biu noted that their opinions are rarely sought, and they often depend on host community leaders to represent them. Respondents from Kwaya Kusar reported that physical disability is perceived as a disqualifier for leadership, regardless of the individual's capacity or ideas.</w:t>
      </w:r>
    </w:p>
    <w:p w14:paraId="00000168" w14:textId="77777777" w:rsidR="00D84B93" w:rsidRDefault="00AC6398">
      <w:pPr>
        <w:pBdr>
          <w:left w:val="single" w:sz="4" w:space="4" w:color="000000"/>
        </w:pBdr>
        <w:jc w:val="left"/>
      </w:pPr>
      <w:r w:rsidRPr="00276EB3">
        <w:rPr>
          <w:i/>
          <w:color w:val="4472C4" w:themeColor="accent1"/>
        </w:rPr>
        <w:t>“My cousin has a physical disability and great ideas, but he’s never invited to meetings because people assume he has nothing to contribute.”</w:t>
      </w:r>
      <w:r>
        <w:br/>
        <w:t>— FGD with Men, Guyuk Ward</w:t>
      </w:r>
    </w:p>
    <w:p w14:paraId="00000169" w14:textId="77777777" w:rsidR="00D84B93" w:rsidRDefault="00AC6398">
      <w:r>
        <w:t>The risks posed by these exclusions go beyond representation. Communities that exclude key voices are more vulnerable to planning failures, as emerging needs, especially those of women, youth, and returnees, may be systematically overlooked. In some wards, respondents flagged the dominance of traditional authorities and male elders as a bottleneck for inclusive development.</w:t>
      </w:r>
    </w:p>
    <w:p w14:paraId="0000016A" w14:textId="77777777" w:rsidR="00D84B93" w:rsidRDefault="00AC6398">
      <w:pPr>
        <w:pBdr>
          <w:left w:val="single" w:sz="4" w:space="4" w:color="000000"/>
        </w:pBdr>
        <w:jc w:val="left"/>
      </w:pPr>
      <w:r w:rsidRPr="00276EB3">
        <w:rPr>
          <w:i/>
          <w:color w:val="4472C4" w:themeColor="accent1"/>
        </w:rPr>
        <w:t>“The same group of people have been in governance for a long time. There is no room for new voices. It makes the whole process feel closed.”</w:t>
      </w:r>
      <w:r>
        <w:br/>
        <w:t>— FGD with Men, Bodeno Ward</w:t>
      </w:r>
    </w:p>
    <w:p w14:paraId="0000016B" w14:textId="77777777" w:rsidR="00D84B93" w:rsidRDefault="00AC6398">
      <w:r>
        <w:t>Despite these gaps, there is high interest in more inclusive planning: 86% of respondents in Kwaya Kusar, 82% in Guyuk, and 44% in Biu expressed strong interest in participating in future CDP sessions. This openness signals a promising opportunity to build on community readiness and address structural barriers through targeted engagement strategies.</w:t>
      </w:r>
    </w:p>
    <w:p w14:paraId="0000016C" w14:textId="77777777" w:rsidR="00D84B93" w:rsidRDefault="00D84B93"/>
    <w:p w14:paraId="0000016D" w14:textId="77777777" w:rsidR="00D84B93" w:rsidRDefault="00AC6398">
      <w:pPr>
        <w:pStyle w:val="Heading2"/>
      </w:pPr>
      <w:bookmarkStart w:id="55" w:name="_Toc207390329"/>
      <w:r>
        <w:t>4.3 Intra and Intercommunal Interactions</w:t>
      </w:r>
      <w:bookmarkEnd w:id="55"/>
    </w:p>
    <w:p w14:paraId="0000016E" w14:textId="77777777" w:rsidR="00D84B93" w:rsidRDefault="41E172A7">
      <w:pPr>
        <w:pStyle w:val="Heading3"/>
      </w:pPr>
      <w:bookmarkStart w:id="56" w:name="_Toc207390330"/>
      <w:r>
        <w:t>4.3.1 Everyday Social Relations and Community Dialogue</w:t>
      </w:r>
      <w:bookmarkEnd w:id="56"/>
    </w:p>
    <w:p w14:paraId="0D5BA978" w14:textId="1F0751F5" w:rsidR="005E62DE" w:rsidRDefault="005E62DE" w:rsidP="005E62DE">
      <w:r>
        <w:t>Across Biu, Guyuk, and Kwaya Kusar, everyday social relations are shaped by a blend of shared history, customary practices, and recent efforts at reconciliation. According to survey data, 70% of respondents in Biu, 64% in Kwaya Kusar, and 51% in Guyuk reported that people in their communities “get along well,” indicating a generally high level of perceived cohesion. However, the level of intergroup trust and cohesion remains uneven, particularly in areas with recent conflict legacies or unresolved grievances.</w:t>
      </w:r>
    </w:p>
    <w:p w14:paraId="00000170" w14:textId="261C262C" w:rsidR="00D84B93" w:rsidRDefault="005E62DE" w:rsidP="005E62DE">
      <w:r>
        <w:t xml:space="preserve">In many wards, community members reported engaging in joint social and religious events, intermarriages, shared marketplaces, and seasonal farming collaborations. Traditional and religious leaders are widely credited with promoting unity and mutual respect. Activities such as Wasan </w:t>
      </w:r>
      <w:proofErr w:type="spellStart"/>
      <w:r>
        <w:t>Kowuwa</w:t>
      </w:r>
      <w:proofErr w:type="spellEnd"/>
      <w:r>
        <w:t xml:space="preserve"> (traditional wrestling), cultural dances, and football matches were mentioned as powerful connectors that bring together individuals from diverse ethnic and religious groups</w:t>
      </w:r>
      <w:r w:rsidR="41E172A7">
        <w:t>.</w:t>
      </w:r>
    </w:p>
    <w:p w14:paraId="00000171" w14:textId="77777777" w:rsidR="00D84B93" w:rsidRDefault="00AC6398">
      <w:pPr>
        <w:pBdr>
          <w:left w:val="single" w:sz="4" w:space="4" w:color="000000"/>
        </w:pBdr>
        <w:jc w:val="left"/>
      </w:pPr>
      <w:r w:rsidRPr="00276EB3">
        <w:rPr>
          <w:i/>
          <w:color w:val="4472C4" w:themeColor="accent1"/>
        </w:rPr>
        <w:lastRenderedPageBreak/>
        <w:t>“We are united in this community. We do not segregate between returnees, host communities, and IDPs. Even if there was tension before, we now settle matters peacefully.”</w:t>
      </w:r>
      <w:r>
        <w:br/>
        <w:t>— KII with Male Leader, Guyuk LGA</w:t>
      </w:r>
    </w:p>
    <w:p w14:paraId="00000172" w14:textId="0DA53C4B" w:rsidR="00D84B93" w:rsidRDefault="7323185E">
      <w:r>
        <w:t xml:space="preserve">Dialogue </w:t>
      </w:r>
      <w:r w:rsidR="00AD613D" w:rsidRPr="00AD613D">
        <w:t xml:space="preserve">platforms exist in many wards but vary in effectiveness. While only 20% of respondents across the three LGAs reported participating in local planning or community development processes, the quality and inclusiveness of these platforms differ significantly. In </w:t>
      </w:r>
      <w:proofErr w:type="spellStart"/>
      <w:r w:rsidR="00AD613D" w:rsidRPr="00AD613D">
        <w:t>Zarawuyaku</w:t>
      </w:r>
      <w:proofErr w:type="spellEnd"/>
      <w:r w:rsidR="00AD613D" w:rsidRPr="00AD613D">
        <w:t xml:space="preserve"> (Biu LGA) and Bobini (Guyuk LGA), respondents described regular peace meetings and community forums that include a broad cross-section of stakeholders—such as youth, women, and returnees—contributing to stronger perceptions of cohesion. In </w:t>
      </w:r>
      <w:proofErr w:type="spellStart"/>
      <w:r w:rsidR="00AD613D" w:rsidRPr="00AD613D">
        <w:t>Gusi</w:t>
      </w:r>
      <w:proofErr w:type="spellEnd"/>
      <w:r w:rsidR="00AD613D" w:rsidRPr="00AD613D">
        <w:t xml:space="preserve"> (</w:t>
      </w:r>
      <w:proofErr w:type="spellStart"/>
      <w:r w:rsidR="00AD613D" w:rsidRPr="00AD613D">
        <w:t>Kwaya</w:t>
      </w:r>
      <w:proofErr w:type="spellEnd"/>
      <w:r w:rsidR="00AD613D" w:rsidRPr="00AD613D">
        <w:t xml:space="preserve"> Kusar LGA), however, respondents noted that such platforms are often dominated by traditional leaders and male elders, limiting participation from other social groups and reducing the effectiveness of dialogue in addres</w:t>
      </w:r>
      <w:r w:rsidR="00AD613D">
        <w:t>sing diverse community concerns</w:t>
      </w:r>
      <w:r>
        <w:t>.</w:t>
      </w:r>
    </w:p>
    <w:p w14:paraId="00000173" w14:textId="06B0A067" w:rsidR="00D84B93" w:rsidRDefault="00AC6398">
      <w:pPr>
        <w:pBdr>
          <w:left w:val="single" w:sz="4" w:space="4" w:color="000000"/>
        </w:pBdr>
        <w:jc w:val="left"/>
      </w:pPr>
      <w:r w:rsidRPr="00276EB3">
        <w:rPr>
          <w:i/>
          <w:color w:val="4472C4" w:themeColor="accent1"/>
        </w:rPr>
        <w:t>“Religious leaders shape values and mobilise us for collective action. They announce meetings, settle disputes, and are respected more than politicians.”</w:t>
      </w:r>
      <w:r>
        <w:br/>
        <w:t>— FGD with Men, Bodeno Ward</w:t>
      </w:r>
      <w:r w:rsidR="000772D5">
        <w:t>, Guyuk LGA</w:t>
      </w:r>
    </w:p>
    <w:p w14:paraId="00000174" w14:textId="257A9C1E" w:rsidR="00D84B93" w:rsidRDefault="00AC6398">
      <w:r>
        <w:t>Trust is growing, particularly in communities where collaboration has been driven by necessity. Respondents described moments of collective action during crises</w:t>
      </w:r>
      <w:r w:rsidR="003E2A3F">
        <w:t xml:space="preserve">, </w:t>
      </w:r>
      <w:r>
        <w:t>such as flood response, market relocations, or water shortages</w:t>
      </w:r>
      <w:r w:rsidR="003E2A3F">
        <w:t xml:space="preserve">, </w:t>
      </w:r>
      <w:r>
        <w:t>that forced coordination among groups previously distanced by fear or difference.</w:t>
      </w:r>
    </w:p>
    <w:p w14:paraId="00000175" w14:textId="77777777" w:rsidR="00D84B93" w:rsidRDefault="00AC6398">
      <w:pPr>
        <w:pBdr>
          <w:left w:val="single" w:sz="4" w:space="4" w:color="000000"/>
        </w:pBdr>
        <w:jc w:val="left"/>
      </w:pPr>
      <w:r w:rsidRPr="00983488">
        <w:rPr>
          <w:i/>
          <w:color w:val="4472C4" w:themeColor="accent1"/>
        </w:rPr>
        <w:t>“Last year, the flood threatened our farmland. Host community men and IDPs worked side-by-side to build barriers. Everyone contributed, and that changed a lot.”</w:t>
      </w:r>
      <w:r>
        <w:br/>
        <w:t>— FGD with Men, Biu LGA</w:t>
      </w:r>
    </w:p>
    <w:p w14:paraId="00000176" w14:textId="1706C677" w:rsidR="00D84B93" w:rsidRDefault="05E75F64">
      <w:r>
        <w:t xml:space="preserve"> Several respondents admitted that while day-to-day interactions are cordial, deeper relationships are often limited by trust issues, historical grievances, and social hierarchies. Youth and middle-aged respondents were more likely to note these underlying tensions, especially in competitive spaces like land access and business. Despite some progress, barriers remain in several areas in the communities.</w:t>
      </w:r>
    </w:p>
    <w:p w14:paraId="00000177" w14:textId="77777777" w:rsidR="00D84B93" w:rsidRDefault="00AC6398">
      <w:pPr>
        <w:pBdr>
          <w:left w:val="single" w:sz="4" w:space="4" w:color="000000"/>
        </w:pBdr>
        <w:jc w:val="left"/>
      </w:pPr>
      <w:r w:rsidRPr="00983488">
        <w:rPr>
          <w:i/>
          <w:color w:val="4472C4" w:themeColor="accent1"/>
        </w:rPr>
        <w:t>“People pretend to cooperate, but real friendship between groups is still rare. We do business together, but keep a distance socially.”</w:t>
      </w:r>
      <w:r>
        <w:br/>
        <w:t>— FGD with Youth, Kwaya Kusar LGA</w:t>
      </w:r>
    </w:p>
    <w:p w14:paraId="00000178" w14:textId="77777777" w:rsidR="00D84B93" w:rsidRDefault="00D84B93"/>
    <w:p w14:paraId="00000179" w14:textId="2ACD06BE" w:rsidR="00D84B93" w:rsidRDefault="2792EAAB">
      <w:pPr>
        <w:pStyle w:val="Heading3"/>
      </w:pPr>
      <w:bookmarkStart w:id="57" w:name="_Toc207390331"/>
      <w:r>
        <w:t>4.3.2 Cross-Ward Collaboration and Barriers to Unity</w:t>
      </w:r>
      <w:bookmarkEnd w:id="57"/>
    </w:p>
    <w:p w14:paraId="12E76DC7" w14:textId="76DFE9AF" w:rsidR="00FA2B57" w:rsidRDefault="00FA2B57" w:rsidP="00FA2B57">
      <w:r>
        <w:t>While intra-ward cohesion is relatively strong across Biu, Guyuk, and Kwaya Kusar LGAs, cross-ward collaboration remains limited, informal, and largely event-driven. There are no institutionalised mechanisms for inter-ward planning, joint decision-making, or resource-sharing in any of the three LGAs. This gap has contributed to uneven development outcomes and perceptions of exclusion.</w:t>
      </w:r>
    </w:p>
    <w:p w14:paraId="51E27225" w14:textId="5C82158A" w:rsidR="00FA2B57" w:rsidRDefault="00FA2B57" w:rsidP="00FA2B57">
      <w:r>
        <w:t xml:space="preserve">In Guyuk LGA, cross-ward interactions are most visible during cultural and religious events. Wards such as </w:t>
      </w:r>
      <w:proofErr w:type="spellStart"/>
      <w:r>
        <w:t>Purokayo</w:t>
      </w:r>
      <w:proofErr w:type="spellEnd"/>
      <w:r>
        <w:t xml:space="preserve"> and </w:t>
      </w:r>
      <w:proofErr w:type="spellStart"/>
      <w:r>
        <w:t>Banjirm</w:t>
      </w:r>
      <w:proofErr w:type="spellEnd"/>
      <w:r>
        <w:t xml:space="preserve"> host traditional wrestling tournaments and communal </w:t>
      </w:r>
      <w:r>
        <w:lastRenderedPageBreak/>
        <w:t>celebrations that draw participants from neighbouring areas. These events, coordinated by traditional leaders, foster symbolic unity but are not linked to development planning.</w:t>
      </w:r>
    </w:p>
    <w:p w14:paraId="329FEFFE" w14:textId="77777777" w:rsidR="00FA2B57" w:rsidRPr="008D45EE" w:rsidRDefault="00FA2B57" w:rsidP="008D45EE">
      <w:pPr>
        <w:pBdr>
          <w:left w:val="single" w:sz="4" w:space="4" w:color="auto"/>
        </w:pBdr>
        <w:rPr>
          <w:i/>
          <w:color w:val="4472C4" w:themeColor="accent1"/>
        </w:rPr>
      </w:pPr>
      <w:r w:rsidRPr="008D45EE">
        <w:rPr>
          <w:i/>
          <w:color w:val="4472C4" w:themeColor="accent1"/>
        </w:rPr>
        <w:t>“We organize wrestling competitions and invite neighbouring wards. These events help us know each other and build trust. We don’t see each other often, so these moments are important.”</w:t>
      </w:r>
    </w:p>
    <w:p w14:paraId="3CC6BB77" w14:textId="69676D89" w:rsidR="00FA2B57" w:rsidRDefault="00FA2B57" w:rsidP="008D45EE">
      <w:pPr>
        <w:pBdr>
          <w:left w:val="single" w:sz="4" w:space="4" w:color="auto"/>
        </w:pBdr>
      </w:pPr>
      <w:r>
        <w:t xml:space="preserve">— FGD with Men, </w:t>
      </w:r>
      <w:proofErr w:type="spellStart"/>
      <w:r>
        <w:t>Purokayo</w:t>
      </w:r>
      <w:proofErr w:type="spellEnd"/>
      <w:r>
        <w:t xml:space="preserve"> Ward</w:t>
      </w:r>
      <w:r w:rsidR="000772D5">
        <w:t xml:space="preserve">, </w:t>
      </w:r>
      <w:proofErr w:type="spellStart"/>
      <w:r w:rsidR="000772D5">
        <w:t>Guyuk</w:t>
      </w:r>
      <w:proofErr w:type="spellEnd"/>
      <w:r w:rsidR="000772D5">
        <w:t xml:space="preserve"> LGA</w:t>
      </w:r>
    </w:p>
    <w:p w14:paraId="7713580C" w14:textId="77777777" w:rsidR="00FA2B57" w:rsidRDefault="00FA2B57" w:rsidP="00FA2B57">
      <w:r>
        <w:t>Despite these social ties, respondents from Lokoro and Bodeno expressed frustration that wards like Banjiram and Bobini are frequently prioritised for NGO and government interventions, while others are overlooked.</w:t>
      </w:r>
    </w:p>
    <w:p w14:paraId="0CF8DC69" w14:textId="77777777" w:rsidR="00FA2B57" w:rsidRPr="008D45EE" w:rsidRDefault="00FA2B57" w:rsidP="008D45EE">
      <w:pPr>
        <w:pBdr>
          <w:left w:val="single" w:sz="4" w:space="4" w:color="auto"/>
        </w:pBdr>
        <w:rPr>
          <w:i/>
          <w:color w:val="4472C4" w:themeColor="accent1"/>
        </w:rPr>
      </w:pPr>
      <w:r w:rsidRPr="008D45EE">
        <w:rPr>
          <w:i/>
          <w:color w:val="4472C4" w:themeColor="accent1"/>
        </w:rPr>
        <w:t>“Some wards are always chosen for government or NGO projects. Others are left behind. It creates resentment, even if we pretend to be united.”</w:t>
      </w:r>
    </w:p>
    <w:p w14:paraId="422C54A7" w14:textId="71C67789" w:rsidR="00FA2B57" w:rsidRDefault="00FA2B57" w:rsidP="008D45EE">
      <w:pPr>
        <w:pBdr>
          <w:left w:val="single" w:sz="4" w:space="4" w:color="auto"/>
        </w:pBdr>
      </w:pPr>
      <w:r>
        <w:t>— FGD with Youth, Lokoro Ward</w:t>
      </w:r>
      <w:r w:rsidR="000772D5">
        <w:t>, Guyuk LGA</w:t>
      </w:r>
    </w:p>
    <w:p w14:paraId="715967E1" w14:textId="776D2AFB" w:rsidR="00FA2B57" w:rsidRDefault="00FA2B57" w:rsidP="00FA2B57">
      <w:r>
        <w:t xml:space="preserve">A past land conflict between the </w:t>
      </w:r>
      <w:proofErr w:type="spellStart"/>
      <w:r>
        <w:t>Lamza</w:t>
      </w:r>
      <w:proofErr w:type="spellEnd"/>
      <w:r>
        <w:t xml:space="preserve"> and Kawa communities </w:t>
      </w:r>
      <w:r w:rsidR="00363FDE">
        <w:t xml:space="preserve">of Guyuk LGA </w:t>
      </w:r>
      <w:r>
        <w:t>was also cited as a lingering source of mistrust, affecting willingness to engage in joint initiatives.</w:t>
      </w:r>
    </w:p>
    <w:p w14:paraId="4259D744" w14:textId="77777777" w:rsidR="00FA2B57" w:rsidRPr="008D45EE" w:rsidRDefault="00FA2B57" w:rsidP="008D45EE">
      <w:pPr>
        <w:pBdr>
          <w:left w:val="single" w:sz="4" w:space="4" w:color="auto"/>
        </w:pBdr>
        <w:rPr>
          <w:i/>
          <w:color w:val="4472C4" w:themeColor="accent1"/>
        </w:rPr>
      </w:pPr>
      <w:r w:rsidRPr="008D45EE">
        <w:rPr>
          <w:i/>
          <w:color w:val="4472C4" w:themeColor="accent1"/>
        </w:rPr>
        <w:t>“We say we are okay, but people still remember the land conflict. When meetings are called, only few attend. The fear is still there.”</w:t>
      </w:r>
    </w:p>
    <w:p w14:paraId="0BA41CC7" w14:textId="77777777" w:rsidR="00FA2B57" w:rsidRDefault="00FA2B57" w:rsidP="008D45EE">
      <w:pPr>
        <w:pBdr>
          <w:left w:val="single" w:sz="4" w:space="4" w:color="auto"/>
        </w:pBdr>
      </w:pPr>
      <w:r>
        <w:t>— FGD with Men, Lokoro Ward</w:t>
      </w:r>
    </w:p>
    <w:p w14:paraId="7CF440CD" w14:textId="77777777" w:rsidR="00FA2B57" w:rsidRDefault="00FA2B57" w:rsidP="00FA2B57">
      <w:r>
        <w:t xml:space="preserve">In Biu LGA, respondents from </w:t>
      </w:r>
      <w:proofErr w:type="spellStart"/>
      <w:r>
        <w:t>Buratai</w:t>
      </w:r>
      <w:proofErr w:type="spellEnd"/>
      <w:r>
        <w:t xml:space="preserve"> and </w:t>
      </w:r>
      <w:proofErr w:type="spellStart"/>
      <w:r>
        <w:t>Dugja</w:t>
      </w:r>
      <w:proofErr w:type="spellEnd"/>
      <w:r>
        <w:t xml:space="preserve"> described occasional joint religious gatherings and shared market spaces as opportunities for inter-ward interaction. However, these engagements are informal and do not translate into coordinated planning or shared development efforts. Physical barriers, especially during the rainy season, further limit collaboration.</w:t>
      </w:r>
    </w:p>
    <w:p w14:paraId="23CF7415" w14:textId="77777777" w:rsidR="00FA2B57" w:rsidRPr="008D45EE" w:rsidRDefault="00FA2B57" w:rsidP="008D45EE">
      <w:pPr>
        <w:pBdr>
          <w:left w:val="single" w:sz="4" w:space="4" w:color="auto"/>
        </w:pBdr>
        <w:rPr>
          <w:i/>
          <w:color w:val="4472C4" w:themeColor="accent1"/>
        </w:rPr>
      </w:pPr>
      <w:r w:rsidRPr="008D45EE">
        <w:rPr>
          <w:i/>
          <w:color w:val="4472C4" w:themeColor="accent1"/>
        </w:rPr>
        <w:t>“The NGOs promised to bring medicine, but the road was too bad. They turned back.”</w:t>
      </w:r>
    </w:p>
    <w:p w14:paraId="68A51681" w14:textId="77777777" w:rsidR="00FA2B57" w:rsidRDefault="00FA2B57" w:rsidP="008D45EE">
      <w:pPr>
        <w:pBdr>
          <w:left w:val="single" w:sz="4" w:space="4" w:color="auto"/>
        </w:pBdr>
      </w:pPr>
      <w:r>
        <w:t>— FGD with Women, Buratai Ward</w:t>
      </w:r>
    </w:p>
    <w:p w14:paraId="339F6F02" w14:textId="77777777" w:rsidR="00FA2B57" w:rsidRDefault="00FA2B57" w:rsidP="00FA2B57">
      <w:r>
        <w:t>There are no platforms for wards to jointly identify priorities or advocate for shared services. Respondents noted that development interventions are often ward-specific, with little effort to harmonise efforts across the LGA.</w:t>
      </w:r>
    </w:p>
    <w:p w14:paraId="70BA00D4" w14:textId="77777777" w:rsidR="00FA2B57" w:rsidRDefault="00FA2B57" w:rsidP="00FA2B57">
      <w:r>
        <w:t xml:space="preserve">In Kwaya Kusar LGA, wards such as </w:t>
      </w:r>
      <w:proofErr w:type="spellStart"/>
      <w:r>
        <w:t>Gusi</w:t>
      </w:r>
      <w:proofErr w:type="spellEnd"/>
      <w:r>
        <w:t xml:space="preserve"> and Wawa collaborate during festivals and communal farming activities. However, respondents noted that development decisions are typically made in isolation, with little consultation between wards. This has led to duplication of efforts and perceptions of exclusion, particularly in more remote wards.</w:t>
      </w:r>
    </w:p>
    <w:p w14:paraId="71172451" w14:textId="77777777" w:rsidR="00FA2B57" w:rsidRPr="008D45EE" w:rsidRDefault="00FA2B57" w:rsidP="008D45EE">
      <w:pPr>
        <w:pBdr>
          <w:left w:val="single" w:sz="4" w:space="4" w:color="auto"/>
        </w:pBdr>
        <w:rPr>
          <w:i/>
          <w:color w:val="4472C4" w:themeColor="accent1"/>
        </w:rPr>
      </w:pPr>
      <w:r w:rsidRPr="008D45EE">
        <w:rPr>
          <w:i/>
          <w:color w:val="4472C4" w:themeColor="accent1"/>
        </w:rPr>
        <w:t>“You can’t join anything unless you know someone. Some families get everything, while others are ignored, even if they are poor.”</w:t>
      </w:r>
    </w:p>
    <w:p w14:paraId="1FD9226D" w14:textId="77777777" w:rsidR="00FA2B57" w:rsidRDefault="00FA2B57" w:rsidP="008D45EE">
      <w:pPr>
        <w:pBdr>
          <w:left w:val="single" w:sz="4" w:space="4" w:color="auto"/>
        </w:pBdr>
      </w:pPr>
      <w:r>
        <w:t xml:space="preserve">— FGD with Women, </w:t>
      </w:r>
      <w:proofErr w:type="spellStart"/>
      <w:r>
        <w:t>Gusi</w:t>
      </w:r>
      <w:proofErr w:type="spellEnd"/>
      <w:r>
        <w:t xml:space="preserve"> Ward</w:t>
      </w:r>
    </w:p>
    <w:p w14:paraId="73BB0839" w14:textId="77777777" w:rsidR="00FA2B57" w:rsidRDefault="00FA2B57" w:rsidP="00FA2B57">
      <w:r>
        <w:t>Poor road networks and long distances between communities further restrict inter-ward engagement. In some cases, respondents described how traditional leaders focus on their own wards, with no mechanisms to coordinate with peers in neighbouring areas.</w:t>
      </w:r>
    </w:p>
    <w:p w14:paraId="0EDE6ACB" w14:textId="77777777" w:rsidR="00FA2B57" w:rsidRDefault="00FA2B57" w:rsidP="00FA2B57">
      <w:r>
        <w:lastRenderedPageBreak/>
        <w:t>Across all three LGAs, the absence of formal inter-ward structures has contributed to fragmented development, missed opportunities for synergy, and growing frustration among less-served communities. Despite these challenges, there is strong recognition of the value of cross-ward collaboration. Respondents across LGAs advocated for the creation of joint planning committees, inter-ward forums, and shared development platforms that include youth, women, and traditional leaders.</w:t>
      </w:r>
    </w:p>
    <w:p w14:paraId="56374526" w14:textId="77777777" w:rsidR="00FA2B57" w:rsidRPr="008D45EE" w:rsidRDefault="00FA2B57" w:rsidP="008D45EE">
      <w:pPr>
        <w:pBdr>
          <w:left w:val="single" w:sz="4" w:space="4" w:color="auto"/>
        </w:pBdr>
        <w:rPr>
          <w:i/>
          <w:color w:val="4472C4" w:themeColor="accent1"/>
        </w:rPr>
      </w:pPr>
      <w:r w:rsidRPr="008D45EE">
        <w:rPr>
          <w:i/>
          <w:color w:val="4472C4" w:themeColor="accent1"/>
        </w:rPr>
        <w:t>“Let us all be part of planning from the beginning. That way, we can all benefit and reduce conflict.”</w:t>
      </w:r>
    </w:p>
    <w:p w14:paraId="21649394" w14:textId="77777777" w:rsidR="00FA2B57" w:rsidRDefault="00FA2B57" w:rsidP="008D45EE">
      <w:pPr>
        <w:pBdr>
          <w:left w:val="single" w:sz="4" w:space="4" w:color="auto"/>
        </w:pBdr>
      </w:pPr>
      <w:r>
        <w:t>— FGD with Men, Biu LGA</w:t>
      </w:r>
    </w:p>
    <w:p w14:paraId="00000184" w14:textId="0714DBEF" w:rsidR="00D84B93" w:rsidRDefault="00FA2B57" w:rsidP="00FA2B57">
      <w:r>
        <w:t>These structures, if established, could help reduce duplication, promote equitable resource distribution, and strengthen social cohesion across ward boundaries.</w:t>
      </w:r>
    </w:p>
    <w:p w14:paraId="00000185" w14:textId="77777777" w:rsidR="00D84B93" w:rsidRDefault="00AC6398">
      <w:pPr>
        <w:pStyle w:val="Heading3"/>
      </w:pPr>
      <w:bookmarkStart w:id="58" w:name="_Toc207390332"/>
      <w:r>
        <w:t>4.3.3 Variations in Social Cohesion by Location</w:t>
      </w:r>
      <w:bookmarkEnd w:id="58"/>
    </w:p>
    <w:p w14:paraId="00000187" w14:textId="1400C11A" w:rsidR="00D84B93" w:rsidRDefault="00AC6398">
      <w:r w:rsidRPr="51F9A844">
        <w:t>Social</w:t>
      </w:r>
      <w:r>
        <w:t xml:space="preserve"> cohesion levels differ significantly across the three LGAs, reflecting variations in recent conflict history, cultural homogeneity, and the strength of local leadership. Quantitative data shows that Biu has the highest proportion of respondents reporting 'very strong' cohesion (70%), followed by Kwaya Kusar (64%) and Guyuk (51%). In contrast, 15% of respondents in Kwaya Kusar rated cohesion as weak, compared to 8% in Biu and 4% in Guyuk.</w:t>
      </w:r>
      <w:r>
        <w:rPr>
          <w:noProof/>
        </w:rPr>
        <w:drawing>
          <wp:anchor distT="0" distB="0" distL="114300" distR="114300" simplePos="0" relativeHeight="251659776" behindDoc="0" locked="0" layoutInCell="1" hidden="0" allowOverlap="1" wp14:anchorId="4B480889" wp14:editId="3C4C762B">
            <wp:simplePos x="0" y="0"/>
            <wp:positionH relativeFrom="column">
              <wp:posOffset>1</wp:posOffset>
            </wp:positionH>
            <wp:positionV relativeFrom="paragraph">
              <wp:posOffset>1015243</wp:posOffset>
            </wp:positionV>
            <wp:extent cx="5734050" cy="1600200"/>
            <wp:effectExtent l="0" t="0" r="0" b="0"/>
            <wp:wrapSquare wrapText="bothSides" distT="0" distB="0" distL="114300" distR="114300"/>
            <wp:docPr id="2142450652" name="Chart 2142450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rPr>
        <mc:AlternateContent>
          <mc:Choice Requires="wps">
            <w:drawing>
              <wp:anchor distT="0" distB="0" distL="114300" distR="114300" simplePos="0" relativeHeight="251660800" behindDoc="0" locked="0" layoutInCell="1" hidden="0" allowOverlap="1" wp14:anchorId="2B2C6257" wp14:editId="74A83CE0">
                <wp:simplePos x="0" y="0"/>
                <wp:positionH relativeFrom="column">
                  <wp:posOffset>1</wp:posOffset>
                </wp:positionH>
                <wp:positionV relativeFrom="paragraph">
                  <wp:posOffset>2717800</wp:posOffset>
                </wp:positionV>
                <wp:extent cx="5741035" cy="177165"/>
                <wp:effectExtent l="0" t="0" r="0" b="0"/>
                <wp:wrapSquare wrapText="bothSides" distT="0" distB="0" distL="114300" distR="114300"/>
                <wp:docPr id="2142450658" name="Rectangle 2142450658"/>
                <wp:cNvGraphicFramePr/>
                <a:graphic xmlns:a="http://schemas.openxmlformats.org/drawingml/2006/main">
                  <a:graphicData uri="http://schemas.microsoft.com/office/word/2010/wordprocessingShape">
                    <wps:wsp>
                      <wps:cNvSpPr/>
                      <wps:spPr>
                        <a:xfrm>
                          <a:off x="2480245" y="3696180"/>
                          <a:ext cx="5731510" cy="167640"/>
                        </a:xfrm>
                        <a:prstGeom prst="rect">
                          <a:avLst/>
                        </a:prstGeom>
                        <a:solidFill>
                          <a:srgbClr val="FFFFFF"/>
                        </a:solidFill>
                        <a:ln>
                          <a:noFill/>
                        </a:ln>
                      </wps:spPr>
                      <wps:txbx>
                        <w:txbxContent>
                          <w:p w14:paraId="2E62F4DA" w14:textId="2EB8706C" w:rsidR="009C3983" w:rsidRPr="00C03DA8" w:rsidRDefault="009C3983" w:rsidP="0009280D">
                            <w:pPr>
                              <w:pStyle w:val="Caption"/>
                              <w:rPr>
                                <w:noProof/>
                              </w:rPr>
                            </w:pPr>
                            <w:bookmarkStart w:id="59" w:name="_Toc199282283"/>
                            <w:r>
                              <w:t xml:space="preserve">Figure </w:t>
                            </w:r>
                            <w:r w:rsidR="00D00EB7">
                              <w:t>10</w:t>
                            </w:r>
                            <w:r>
                              <w:t xml:space="preserve"> L</w:t>
                            </w:r>
                            <w:r w:rsidRPr="00A1449A">
                              <w:t>evel of community cohesion</w:t>
                            </w:r>
                            <w:bookmarkEnd w:id="59"/>
                            <w:r w:rsidRPr="00A1449A">
                              <w:t xml:space="preserve"> </w:t>
                            </w:r>
                          </w:p>
                          <w:p w14:paraId="3E84D821" w14:textId="5AA606E2" w:rsidR="009C3983" w:rsidRDefault="009C3983">
                            <w:pPr>
                              <w:spacing w:after="200" w:line="240" w:lineRule="auto"/>
                              <w:jc w:val="left"/>
                              <w:textDirection w:val="btLr"/>
                            </w:pPr>
                          </w:p>
                        </w:txbxContent>
                      </wps:txbx>
                      <wps:bodyPr spcFirstLastPara="1" wrap="square" lIns="0" tIns="0" rIns="0" bIns="0" anchor="t" anchorCtr="0">
                        <a:noAutofit/>
                      </wps:bodyPr>
                    </wps:wsp>
                  </a:graphicData>
                </a:graphic>
              </wp:anchor>
            </w:drawing>
          </mc:Choice>
          <mc:Fallback>
            <w:pict>
              <v:rect w14:anchorId="2B2C6257" id="Rectangle 2142450658" o:spid="_x0000_s1038" style="position:absolute;left:0;text-align:left;margin-left:0;margin-top:214pt;width:452.05pt;height:13.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" stroked="f">
                <v:textbox inset="0,0,0,0">
                  <w:txbxContent>
                    <w:p w14:paraId="2E62F4DA" w14:textId="2EB8706C" w:rsidR="009C3983" w:rsidRPr="00C03DA8" w:rsidRDefault="009C3983" w:rsidP="0009280D">
                      <w:pPr>
                        <w:pStyle w:val="Caption"/>
                        <w:rPr>
                          <w:noProof/>
                        </w:rPr>
                      </w:pPr>
                      <w:bookmarkStart w:id="60" w:name="_Toc199282283"/>
                      <w:r>
                        <w:t xml:space="preserve">Figure </w:t>
                      </w:r>
                      <w:r w:rsidR="00D00EB7">
                        <w:t>10</w:t>
                      </w:r>
                      <w:r>
                        <w:t xml:space="preserve"> L</w:t>
                      </w:r>
                      <w:r w:rsidRPr="00A1449A">
                        <w:t>evel of community cohesion</w:t>
                      </w:r>
                      <w:bookmarkEnd w:id="60"/>
                      <w:r w:rsidRPr="00A1449A">
                        <w:t xml:space="preserve"> </w:t>
                      </w:r>
                    </w:p>
                    <w:p w14:paraId="3E84D821" w14:textId="5AA606E2" w:rsidR="009C3983" w:rsidRDefault="009C3983">
                      <w:pPr>
                        <w:spacing w:after="200" w:line="240" w:lineRule="auto"/>
                        <w:jc w:val="left"/>
                        <w:textDirection w:val="btLr"/>
                      </w:pPr>
                    </w:p>
                  </w:txbxContent>
                </v:textbox>
                <w10:wrap type="square"/>
              </v:rect>
            </w:pict>
          </mc:Fallback>
        </mc:AlternateContent>
      </w:r>
    </w:p>
    <w:p w14:paraId="00000188" w14:textId="46460EF4" w:rsidR="00D84B93" w:rsidRDefault="6F41F36D">
      <w:r>
        <w:t>These differences are echoed in qualitative data. Communities in Biu frequently referenced shared religious practices, long-standing coexistence, and collaborative youth events as key to their unity. In wards such as Sil-</w:t>
      </w:r>
      <w:proofErr w:type="spellStart"/>
      <w:r>
        <w:t>Umtha</w:t>
      </w:r>
      <w:proofErr w:type="spellEnd"/>
      <w:r>
        <w:t xml:space="preserve"> and </w:t>
      </w:r>
      <w:proofErr w:type="spellStart"/>
      <w:r>
        <w:t>Yawi</w:t>
      </w:r>
      <w:proofErr w:type="spellEnd"/>
      <w:r>
        <w:t xml:space="preserve"> of </w:t>
      </w:r>
      <w:r w:rsidR="00291BE2">
        <w:t xml:space="preserve">Biu </w:t>
      </w:r>
      <w:r>
        <w:t>LGA, respondents described their neighbourhoods as “peaceful” and “supportive,” even in the face of external pressures.</w:t>
      </w:r>
    </w:p>
    <w:p w14:paraId="00000189" w14:textId="77777777" w:rsidR="00D84B93" w:rsidRDefault="00AC6398">
      <w:pPr>
        <w:pBdr>
          <w:left w:val="single" w:sz="4" w:space="4" w:color="000000"/>
        </w:pBdr>
        <w:jc w:val="left"/>
      </w:pPr>
      <w:r w:rsidRPr="00983488">
        <w:rPr>
          <w:i/>
          <w:color w:val="4472C4" w:themeColor="accent1"/>
        </w:rPr>
        <w:t>“We are living in peace. Even when issues come up, we resolve them quickly. The bond here is strong, and people don’t like to fight.”</w:t>
      </w:r>
      <w:r>
        <w:br/>
        <w:t>— KII with Female Community Member, Biu LGA</w:t>
      </w:r>
    </w:p>
    <w:p w14:paraId="0000018A" w14:textId="77777777" w:rsidR="00D84B93" w:rsidRDefault="00AC6398">
      <w:r>
        <w:t>Kwaya Kusar, while generally peaceful, revealed a mix of trust and tension. Although many respondents celebrated their inter-ethnic collaborations and joint farming efforts, there were also subtle mentions of exclusion and limited youth involvement. Reports of weak cohesion in some wards aligned with concerns about unresolved disputes, low participation in community decision-making, and marginalisation of minority voices.</w:t>
      </w:r>
    </w:p>
    <w:p w14:paraId="0000018B" w14:textId="77777777" w:rsidR="00D84B93" w:rsidRDefault="00AC6398">
      <w:pPr>
        <w:pBdr>
          <w:left w:val="single" w:sz="4" w:space="4" w:color="000000"/>
        </w:pBdr>
        <w:jc w:val="left"/>
      </w:pPr>
      <w:r w:rsidRPr="00983488">
        <w:rPr>
          <w:i/>
          <w:color w:val="4472C4" w:themeColor="accent1"/>
        </w:rPr>
        <w:lastRenderedPageBreak/>
        <w:t>“In our ward, we do things together. But some families are still cautious about mixing deeply with others, especially after the last land issue.”</w:t>
      </w:r>
      <w:r>
        <w:br/>
        <w:t>— FGD with Men, Kwaya Kusar Ward</w:t>
      </w:r>
    </w:p>
    <w:p w14:paraId="0000018C" w14:textId="0106E46E" w:rsidR="00D84B93" w:rsidRDefault="00AC6398">
      <w:r>
        <w:t>In Guyuk, despite its religious and ethnic diversity, cohesion is more variable. Some wards like Banjiram and Bobini highlighted strong cultural unity and annual gatherings that foster togetherness. Others, such as Lokoro, reflected on past tensions</w:t>
      </w:r>
      <w:r w:rsidR="003E2A3F">
        <w:t xml:space="preserve">, </w:t>
      </w:r>
      <w:r>
        <w:t>particularly around land ownership and political inclusion</w:t>
      </w:r>
      <w:r w:rsidR="003E2A3F">
        <w:t xml:space="preserve">, </w:t>
      </w:r>
      <w:r>
        <w:t>that continue to affect how communities interact.</w:t>
      </w:r>
    </w:p>
    <w:p w14:paraId="0000018D" w14:textId="77777777" w:rsidR="00D84B93" w:rsidRDefault="00AC6398">
      <w:pPr>
        <w:pBdr>
          <w:left w:val="single" w:sz="4" w:space="4" w:color="000000"/>
        </w:pBdr>
        <w:jc w:val="left"/>
      </w:pPr>
      <w:r w:rsidRPr="00983488">
        <w:rPr>
          <w:i/>
          <w:color w:val="4472C4" w:themeColor="accent1"/>
        </w:rPr>
        <w:t>“There is peace, but not deep trust. Some people still feel sidelined, especially in leadership matters.”</w:t>
      </w:r>
      <w:r>
        <w:br/>
        <w:t>— FGD with Youth, Lokoro Ward</w:t>
      </w:r>
    </w:p>
    <w:p w14:paraId="0000018E" w14:textId="77777777" w:rsidR="00D84B93" w:rsidRDefault="00AC6398">
      <w:r>
        <w:t>Community events, religious harmony, and responsive traditional leadership were cited as unifying forces across all locations. However, inclusion of returnees and IDPs remains a dividing factor in several wards. While some areas actively involve displaced persons in dialogue and development processes, others treat them as temporary residents, limiting their integration into social systems.</w:t>
      </w:r>
    </w:p>
    <w:p w14:paraId="0000018F" w14:textId="77777777" w:rsidR="00D84B93" w:rsidRDefault="00D84B93">
      <w:pPr>
        <w:rPr>
          <w:sz w:val="10"/>
          <w:szCs w:val="10"/>
        </w:rPr>
      </w:pPr>
    </w:p>
    <w:p w14:paraId="00000190" w14:textId="77777777" w:rsidR="00D84B93" w:rsidRDefault="00AC6398">
      <w:pPr>
        <w:pStyle w:val="Heading2"/>
      </w:pPr>
      <w:bookmarkStart w:id="61" w:name="_Toc207390333"/>
      <w:r>
        <w:t>4.4 Governance Structures and Power Relations</w:t>
      </w:r>
      <w:bookmarkEnd w:id="61"/>
    </w:p>
    <w:p w14:paraId="00000191" w14:textId="77777777" w:rsidR="00D84B93" w:rsidRDefault="00AC6398">
      <w:pPr>
        <w:rPr>
          <w:color w:val="44841A"/>
        </w:rPr>
      </w:pPr>
      <w:r>
        <w:rPr>
          <w:b/>
          <w:color w:val="44841A"/>
        </w:rPr>
        <w:t>4.4.1 Community Leadership and Decision-Making Dynamics</w:t>
      </w:r>
    </w:p>
    <w:p w14:paraId="00000192" w14:textId="49B61E85" w:rsidR="00D84B93" w:rsidRDefault="60256C05">
      <w:r>
        <w:t>Across the three LGAs, leadership structures remain deeply rooted in tradition, with village heads, ward leaders, and religious leaders playing pivotal roles in local governance and decision-making. These actors are generally trusted, with their authority seen as legitimate and central to community coordination. In many wards, especially in Guyuk and Biu, traditional leaders are the first point of contact for development actors, mediators during conflict, and conveners of community forums.</w:t>
      </w:r>
    </w:p>
    <w:p w14:paraId="00000193" w14:textId="77777777" w:rsidR="00D84B93" w:rsidRDefault="00AC6398">
      <w:pPr>
        <w:pBdr>
          <w:left w:val="single" w:sz="4" w:space="4" w:color="000000"/>
        </w:pBdr>
        <w:jc w:val="left"/>
      </w:pPr>
      <w:r w:rsidRPr="00983488">
        <w:rPr>
          <w:i/>
          <w:color w:val="4472C4" w:themeColor="accent1"/>
        </w:rPr>
        <w:t>“The traditional leaders like the ward head and village elders are the first people we turn to when decisions about the community are made.”</w:t>
      </w:r>
      <w:r>
        <w:br/>
        <w:t>— FGD with Men, Biu Ward</w:t>
      </w:r>
    </w:p>
    <w:p w14:paraId="00000194" w14:textId="6ABDB9D8" w:rsidR="00D84B93" w:rsidRDefault="60256C05">
      <w:r>
        <w:t>Their legitimacy stems not only from cultural lineage but from their visible roles in daily governance: resolving disputes, allocating land, coordinating aid distribution, and managing local security arrangements. In many communities, political leaders or LGA officials defer to traditional authorities before making decisions, a practice that reinforces respect for customary processes and ensures buy-in from the population.</w:t>
      </w:r>
    </w:p>
    <w:p w14:paraId="00000195" w14:textId="77777777" w:rsidR="00D84B93" w:rsidRDefault="00AC6398">
      <w:pPr>
        <w:pBdr>
          <w:left w:val="single" w:sz="4" w:space="4" w:color="000000"/>
        </w:pBdr>
        <w:jc w:val="left"/>
      </w:pPr>
      <w:r w:rsidRPr="00983488">
        <w:rPr>
          <w:i/>
          <w:color w:val="4472C4" w:themeColor="accent1"/>
        </w:rPr>
        <w:t>“Political leaders often seek the consent and advice of traditional leaders before making decisions, ensuring that our community's values and customs are respected.”</w:t>
      </w:r>
      <w:r w:rsidRPr="00983488">
        <w:rPr>
          <w:color w:val="4472C4" w:themeColor="accent1"/>
        </w:rPr>
        <w:br/>
      </w:r>
      <w:r>
        <w:t>— FGD with Men, Dukul Ward</w:t>
      </w:r>
    </w:p>
    <w:p w14:paraId="00000196" w14:textId="0B8F7208" w:rsidR="00D84B93" w:rsidRDefault="60256C05">
      <w:r>
        <w:t>Religious leaders also hold significant sway. Beyond their spiritual roles, they are moral anchors and mobilisers. In Kwaya Kusar, religious leaders were credited with promoting inclusive practices, especially in bridging divisions between ethnic or faith groups.</w:t>
      </w:r>
    </w:p>
    <w:p w14:paraId="00000197" w14:textId="77777777" w:rsidR="00D84B93" w:rsidRDefault="00AC6398">
      <w:pPr>
        <w:pBdr>
          <w:left w:val="single" w:sz="4" w:space="4" w:color="000000"/>
        </w:pBdr>
        <w:jc w:val="left"/>
      </w:pPr>
      <w:r w:rsidRPr="00983488">
        <w:rPr>
          <w:i/>
          <w:color w:val="4472C4" w:themeColor="accent1"/>
        </w:rPr>
        <w:t>“Religious leaders influence attitudes and behaviours. They help us forgive and work together after conflict.”</w:t>
      </w:r>
      <w:r>
        <w:br/>
        <w:t>— KII with Community Member, Kwaya Kusar</w:t>
      </w:r>
    </w:p>
    <w:p w14:paraId="00000198" w14:textId="2A988FAD" w:rsidR="00D84B93" w:rsidRDefault="4685DB31">
      <w:r>
        <w:t xml:space="preserve"> The type of leadership dynamics described above supports social order and cultural cohesion but it reinforces a top-down decision-making system which most times does not consider the opinions </w:t>
      </w:r>
      <w:r>
        <w:lastRenderedPageBreak/>
        <w:t>of minority groups. It encourages elderly men to dominate discussions, while women, youth, and persons with disabilities (PWDs), IDPs and returnees to be excluded when critical decisions are taken or to be involved only at the periphery. In FGDs across wards, respondents repeatedly described decision-making as being opaque and limited to a selected few.</w:t>
      </w:r>
    </w:p>
    <w:p w14:paraId="00000199" w14:textId="5F8CE56A" w:rsidR="00D84B93" w:rsidRDefault="51F9A844" w:rsidP="51F9A844">
      <w:pPr>
        <w:pBdr>
          <w:left w:val="single" w:sz="4" w:space="4" w:color="000000"/>
        </w:pBdr>
        <w:jc w:val="left"/>
      </w:pPr>
      <w:r w:rsidRPr="51F9A844">
        <w:rPr>
          <w:i/>
          <w:iCs/>
          <w:color w:val="4472C4" w:themeColor="accent1"/>
        </w:rPr>
        <w:t>“When meetings happen, it is mostly men, especially the elders and traditional rulers. Sometimes they inform us after decisions are made, but we do not have a voice during the process.”</w:t>
      </w:r>
      <w:r w:rsidR="00AC6398">
        <w:br/>
      </w:r>
      <w:r>
        <w:t>— FGD with Women, Bobini Ward, Guyuk LGA</w:t>
      </w:r>
    </w:p>
    <w:p w14:paraId="0000019A" w14:textId="78FD4028" w:rsidR="00D84B93" w:rsidRDefault="51F9A844" w:rsidP="51F9A844">
      <w:pPr>
        <w:pBdr>
          <w:left w:val="single" w:sz="4" w:space="4" w:color="000000"/>
        </w:pBdr>
        <w:jc w:val="left"/>
      </w:pPr>
      <w:r w:rsidRPr="51F9A844">
        <w:rPr>
          <w:i/>
          <w:iCs/>
          <w:color w:val="4472C4" w:themeColor="accent1"/>
        </w:rPr>
        <w:t>“Youth are hardly invited to community meetings unless it’s something about sports or cleaning. Even when we are there, the elders make the decisions. It makes us feel invisible.”</w:t>
      </w:r>
      <w:r w:rsidR="00AC6398">
        <w:br/>
      </w:r>
      <w:r>
        <w:t xml:space="preserve">— FGD with Youth, </w:t>
      </w:r>
      <w:proofErr w:type="spellStart"/>
      <w:r>
        <w:t>Zarawuyaku</w:t>
      </w:r>
      <w:proofErr w:type="spellEnd"/>
      <w:r>
        <w:t xml:space="preserve"> Ward, </w:t>
      </w:r>
      <w:r w:rsidR="006673A6">
        <w:t>Biu LGA</w:t>
      </w:r>
    </w:p>
    <w:p w14:paraId="63B8516B" w14:textId="77777777" w:rsidR="001F74D2" w:rsidRDefault="12898BA5" w:rsidP="001F74D2">
      <w:r>
        <w:t xml:space="preserve">This hierarchy is both a strength and a challenge. It ensures community coordination but risks undermining inclusive governance, especially when critical voices are left out. </w:t>
      </w:r>
      <w:r w:rsidR="001F74D2">
        <w:t>Despite persistent power imbalances in governance structures, there is growing evidence of a shift toward more inclusive practices in specific wards across the three LGAs. In Banjiram Ward (Guyuk LGA), women participants reported that traditional leaders have begun inviting them and youth to planning meetings, particularly on issues related to health and education. This marks a departure from previous practices where decisions were made exclusively by male elders:</w:t>
      </w:r>
    </w:p>
    <w:p w14:paraId="0F296E99" w14:textId="77777777" w:rsidR="001F74D2" w:rsidRPr="008D45EE" w:rsidRDefault="001F74D2" w:rsidP="008D45EE">
      <w:pPr>
        <w:pBdr>
          <w:left w:val="single" w:sz="4" w:space="4" w:color="auto"/>
        </w:pBdr>
        <w:rPr>
          <w:i/>
          <w:iCs/>
          <w:color w:val="4472C4" w:themeColor="accent1"/>
        </w:rPr>
      </w:pPr>
      <w:r w:rsidRPr="008D45EE">
        <w:rPr>
          <w:i/>
          <w:iCs/>
          <w:color w:val="4472C4" w:themeColor="accent1"/>
        </w:rPr>
        <w:t>“Our ward head now asks women and youth to join the meetings, especially when it’s about health or education. Before, it was not like that.”</w:t>
      </w:r>
    </w:p>
    <w:p w14:paraId="4384ACF0" w14:textId="77777777" w:rsidR="001F74D2" w:rsidRDefault="001F74D2" w:rsidP="008D45EE">
      <w:pPr>
        <w:pBdr>
          <w:left w:val="single" w:sz="4" w:space="4" w:color="auto"/>
        </w:pBdr>
      </w:pPr>
      <w:r>
        <w:t>— FGD with Women, Banjiram Ward, Guyuk LGA</w:t>
      </w:r>
    </w:p>
    <w:p w14:paraId="03F702BB" w14:textId="77777777" w:rsidR="001F74D2" w:rsidRDefault="001F74D2" w:rsidP="001F74D2">
      <w:r>
        <w:t>In Bobini Ward (</w:t>
      </w:r>
      <w:proofErr w:type="spellStart"/>
      <w:r>
        <w:t>Guyuk</w:t>
      </w:r>
      <w:proofErr w:type="spellEnd"/>
      <w:r>
        <w:t xml:space="preserve">) and </w:t>
      </w:r>
      <w:proofErr w:type="spellStart"/>
      <w:r>
        <w:t>Zarawuyaku</w:t>
      </w:r>
      <w:proofErr w:type="spellEnd"/>
      <w:r>
        <w:t xml:space="preserve"> Ward (Biu LGA), respondents noted that NGO-facilitated dialogue platforms have encouraged traditional leaders to consult a broader range of voices, including youth and returnees. These changes, while not yet widespread, demonstrate the potential of external facilitation to catalyse more participatory governance at the ward level.</w:t>
      </w:r>
    </w:p>
    <w:p w14:paraId="793052B0" w14:textId="77777777" w:rsidR="001F74D2" w:rsidRPr="008D45EE" w:rsidRDefault="001F74D2" w:rsidP="008D45EE">
      <w:pPr>
        <w:pBdr>
          <w:left w:val="single" w:sz="4" w:space="4" w:color="auto"/>
        </w:pBdr>
        <w:rPr>
          <w:i/>
          <w:iCs/>
          <w:color w:val="4472C4" w:themeColor="accent1"/>
        </w:rPr>
      </w:pPr>
      <w:r w:rsidRPr="008D45EE">
        <w:rPr>
          <w:i/>
          <w:iCs/>
          <w:color w:val="4472C4" w:themeColor="accent1"/>
        </w:rPr>
        <w:t xml:space="preserve">“Before Oxfam came, our women’s group was already talking about sanitation and school dropout. </w:t>
      </w:r>
      <w:proofErr w:type="gramStart"/>
      <w:r w:rsidRPr="008D45EE">
        <w:rPr>
          <w:i/>
          <w:iCs/>
          <w:color w:val="4472C4" w:themeColor="accent1"/>
        </w:rPr>
        <w:t>So</w:t>
      </w:r>
      <w:proofErr w:type="gramEnd"/>
      <w:r w:rsidRPr="008D45EE">
        <w:rPr>
          <w:i/>
          <w:iCs/>
          <w:color w:val="4472C4" w:themeColor="accent1"/>
        </w:rPr>
        <w:t xml:space="preserve"> when they brought the training, we were ready.”</w:t>
      </w:r>
    </w:p>
    <w:p w14:paraId="4DE12292" w14:textId="77777777" w:rsidR="001F74D2" w:rsidRDefault="001F74D2" w:rsidP="008D45EE">
      <w:pPr>
        <w:pBdr>
          <w:left w:val="single" w:sz="4" w:space="4" w:color="auto"/>
        </w:pBdr>
      </w:pPr>
      <w:r>
        <w:t>— KII with Female Leader, Biu Ward</w:t>
      </w:r>
    </w:p>
    <w:p w14:paraId="5AD52FEC" w14:textId="77777777" w:rsidR="001F74D2" w:rsidRPr="008D45EE" w:rsidRDefault="001F74D2" w:rsidP="008D45EE">
      <w:pPr>
        <w:pBdr>
          <w:left w:val="single" w:sz="4" w:space="4" w:color="auto"/>
        </w:pBdr>
        <w:rPr>
          <w:i/>
          <w:iCs/>
          <w:color w:val="4472C4" w:themeColor="accent1"/>
        </w:rPr>
      </w:pPr>
      <w:r w:rsidRPr="008D45EE">
        <w:rPr>
          <w:i/>
          <w:iCs/>
          <w:color w:val="4472C4" w:themeColor="accent1"/>
        </w:rPr>
        <w:t>“Youth are hardly invited unless it’s something about sports or cleaning. Even when we are there, the elders make the decisions.”</w:t>
      </w:r>
    </w:p>
    <w:p w14:paraId="3F9C5D9B" w14:textId="77777777" w:rsidR="001F74D2" w:rsidRDefault="001F74D2" w:rsidP="008D45EE">
      <w:pPr>
        <w:pBdr>
          <w:left w:val="single" w:sz="4" w:space="4" w:color="auto"/>
        </w:pBdr>
      </w:pPr>
      <w:r>
        <w:t>— FGD with Youth, Biu LGA</w:t>
      </w:r>
    </w:p>
    <w:p w14:paraId="0000019C" w14:textId="44B73083" w:rsidR="00D84B93" w:rsidRDefault="001F74D2" w:rsidP="001F74D2">
      <w:r>
        <w:t xml:space="preserve">In </w:t>
      </w:r>
      <w:proofErr w:type="spellStart"/>
      <w:r>
        <w:t>Gusi</w:t>
      </w:r>
      <w:proofErr w:type="spellEnd"/>
      <w:r>
        <w:t xml:space="preserve"> Ward (</w:t>
      </w:r>
      <w:proofErr w:type="spellStart"/>
      <w:r>
        <w:t>Kwaya</w:t>
      </w:r>
      <w:proofErr w:type="spellEnd"/>
      <w:r>
        <w:t xml:space="preserve"> Kusar LGA), however, respondents indicated that traditional leaders still dominate decision-making, with limited consultation of women or youth. This contrast highlights the uneven nature of progress across the LGAs and underscores the importance of sustained engagement and capacity-building to institutionalise inclusive practices</w:t>
      </w:r>
    </w:p>
    <w:p w14:paraId="0000019D" w14:textId="7164CBE9" w:rsidR="00D84B93" w:rsidRDefault="00D84B93">
      <w:pPr>
        <w:rPr>
          <w:b/>
          <w:color w:val="44841A"/>
          <w:sz w:val="12"/>
          <w:szCs w:val="12"/>
        </w:rPr>
      </w:pPr>
    </w:p>
    <w:p w14:paraId="0000019E" w14:textId="77777777" w:rsidR="00D84B93" w:rsidRDefault="00AC6398">
      <w:pPr>
        <w:rPr>
          <w:b/>
          <w:color w:val="44841A"/>
        </w:rPr>
      </w:pPr>
      <w:r>
        <w:rPr>
          <w:b/>
          <w:color w:val="44841A"/>
        </w:rPr>
        <w:t>4.4.2 Role of Civil Society and Informal Networks</w:t>
      </w:r>
    </w:p>
    <w:p w14:paraId="0000019F" w14:textId="77777777" w:rsidR="00D84B93" w:rsidRDefault="00AC6398">
      <w:r>
        <w:t xml:space="preserve">Civil society organisations (CSOs), community-based organisations (CBOs), religious institutions, and informal associations play a complementary role to formal leadership structures in all three </w:t>
      </w:r>
      <w:r>
        <w:lastRenderedPageBreak/>
        <w:t>LGAs. Their involvement is often localised and practical, focusing on community mobilisation, dispute resolution, awareness raising, and supporting service delivery where government reach is limited.</w:t>
      </w:r>
    </w:p>
    <w:p w14:paraId="000001A0" w14:textId="77777777" w:rsidR="00D84B93" w:rsidRDefault="00AC6398">
      <w:r>
        <w:t>Respondents from Kwaya Kusar and Guyuk consistently cited NGOs and government agencies as main supporters of local development, particularly in health, education, livelihoods, and peacebuilding. While these organisations rarely influence political decisions directly, they are often perceived as more inclusive, especially in creating opportunities for women and youth engagement.</w:t>
      </w:r>
    </w:p>
    <w:p w14:paraId="000001A1" w14:textId="77777777" w:rsidR="00D84B93" w:rsidRDefault="00AC6398" w:rsidP="008D45EE">
      <w:pPr>
        <w:pBdr>
          <w:left w:val="single" w:sz="2" w:space="4" w:color="A6A6A6" w:themeColor="background1" w:themeShade="A6"/>
        </w:pBdr>
        <w:jc w:val="left"/>
      </w:pPr>
      <w:r w:rsidRPr="00983488">
        <w:rPr>
          <w:i/>
          <w:color w:val="4472C4" w:themeColor="accent1"/>
        </w:rPr>
        <w:t>“NGOs and government agencies provide support, but the ones that succeed work through the community leaders and also talk to youth and women.”</w:t>
      </w:r>
      <w:r>
        <w:br/>
        <w:t>— FGD with Men, Guyuk Ward</w:t>
      </w:r>
    </w:p>
    <w:p w14:paraId="000001A2" w14:textId="4AEF26F1" w:rsidR="00D84B93" w:rsidRDefault="236E6496">
      <w:r>
        <w:t>Religious leaders, both Christian and Muslim, serve as critical voices of morality and social mediation. Their influence shape public attitudes, encourages behavioural change, and promote peaceful coexistence, especially in diverse wards such as those in Kwaya Kusar and Biu.</w:t>
      </w:r>
    </w:p>
    <w:p w14:paraId="000001A3" w14:textId="77777777" w:rsidR="00D84B93" w:rsidRDefault="00AC6398" w:rsidP="008D45EE">
      <w:pPr>
        <w:pBdr>
          <w:left w:val="single" w:sz="2" w:space="4" w:color="A6A6A6" w:themeColor="background1" w:themeShade="A6"/>
        </w:pBdr>
        <w:jc w:val="left"/>
      </w:pPr>
      <w:r w:rsidRPr="00983488">
        <w:rPr>
          <w:i/>
          <w:color w:val="4472C4" w:themeColor="accent1"/>
        </w:rPr>
        <w:t>“When there is a disagreement, people listen more when the church or mosque talks. They calm things down and remind people of unity.”</w:t>
      </w:r>
      <w:r>
        <w:br/>
        <w:t>— FGD with Men, Kwaya Kusar Ward</w:t>
      </w:r>
    </w:p>
    <w:p w14:paraId="000001A4" w14:textId="77777777" w:rsidR="00D84B93" w:rsidRDefault="00AC6398">
      <w:r>
        <w:t>Women’s groups, youth associations, and informal savings groups (</w:t>
      </w:r>
      <w:proofErr w:type="spellStart"/>
      <w:r>
        <w:t>adashe</w:t>
      </w:r>
      <w:proofErr w:type="spellEnd"/>
      <w:r>
        <w:t xml:space="preserve"> or </w:t>
      </w:r>
      <w:proofErr w:type="spellStart"/>
      <w:r>
        <w:t>esusu</w:t>
      </w:r>
      <w:proofErr w:type="spellEnd"/>
      <w:r>
        <w:t>) were mentioned as active in community sensitisation and collective action, particularly around small-scale infrastructure projects, health outreach, and economic empowerment initiatives. These groups are especially influential in identifying the needs of vulnerable groups and in building trust between NGOs and communities.</w:t>
      </w:r>
    </w:p>
    <w:p w14:paraId="000001A5" w14:textId="77777777" w:rsidR="00D84B93" w:rsidRDefault="00AC6398" w:rsidP="008D45EE">
      <w:pPr>
        <w:pBdr>
          <w:left w:val="single" w:sz="2" w:space="4" w:color="A6A6A6" w:themeColor="background1" w:themeShade="A6"/>
        </w:pBdr>
        <w:jc w:val="left"/>
      </w:pPr>
      <w:r w:rsidRPr="00983488">
        <w:rPr>
          <w:i/>
          <w:color w:val="4472C4" w:themeColor="accent1"/>
        </w:rPr>
        <w:t xml:space="preserve">“Before Oxfam came, our women’s group was already talking about sanitation and school dropout. </w:t>
      </w:r>
      <w:proofErr w:type="gramStart"/>
      <w:r w:rsidRPr="00983488">
        <w:rPr>
          <w:i/>
          <w:color w:val="4472C4" w:themeColor="accent1"/>
        </w:rPr>
        <w:t>So</w:t>
      </w:r>
      <w:proofErr w:type="gramEnd"/>
      <w:r w:rsidRPr="00983488">
        <w:rPr>
          <w:i/>
          <w:color w:val="4472C4" w:themeColor="accent1"/>
        </w:rPr>
        <w:t xml:space="preserve"> when they brought the training, we were ready.”</w:t>
      </w:r>
      <w:r>
        <w:br/>
        <w:t>— KII with Female Leader, Biu Ward</w:t>
      </w:r>
    </w:p>
    <w:p w14:paraId="207C5C86" w14:textId="62839FE4" w:rsidR="000B01D3" w:rsidRDefault="7455AD03" w:rsidP="000B01D3">
      <w:r>
        <w:t xml:space="preserve">Community </w:t>
      </w:r>
      <w:r w:rsidR="000B01D3">
        <w:t>Development Associations (CDAs) are recognised across Biu, Guyuk, and Kwaya Kusar LGAs as important local mechanisms for sustaining development interventions. Their core functions include coordinating stakeholders, ensuring accountability, and serving as feedback loops between residents and local authorities. CDAs are typically older, community-initiated structures that predate the current CDP process. They are more active in wards where NGOs have previously supported capacity-building or formalised their roles—particularly in Biu and parts of Guyuk.</w:t>
      </w:r>
    </w:p>
    <w:p w14:paraId="5DF63A13" w14:textId="77777777" w:rsidR="000B01D3" w:rsidRDefault="000B01D3" w:rsidP="000B01D3"/>
    <w:p w14:paraId="4A1EC9FC" w14:textId="77777777" w:rsidR="000B01D3" w:rsidRDefault="000B01D3" w:rsidP="000B01D3">
      <w:r>
        <w:t>In contrast, Community Action Groups (CAGs) were established or strengthened specifically under the CDP initiative to promote inclusive planning. While CDAs focus more on implementation and sustainability, CAGs are designed to facilitate participatory planning, especially for women, youth, and vulnerable groups. CAGs are present in all three LGAs, but their functionality varies: Guyuk recorded the highest level of active female participation (35%), compared to Biu and Kwaya Kusar (both 19%).</w:t>
      </w:r>
    </w:p>
    <w:p w14:paraId="66404066" w14:textId="77777777" w:rsidR="000B01D3" w:rsidRPr="008D45EE" w:rsidRDefault="000B01D3" w:rsidP="008D45EE">
      <w:pPr>
        <w:pBdr>
          <w:left w:val="single" w:sz="2" w:space="4" w:color="A6A6A6" w:themeColor="background1" w:themeShade="A6"/>
        </w:pBdr>
        <w:rPr>
          <w:i/>
          <w:color w:val="4472C4" w:themeColor="accent1"/>
        </w:rPr>
      </w:pPr>
      <w:r w:rsidRPr="008D45EE">
        <w:rPr>
          <w:i/>
          <w:color w:val="4472C4" w:themeColor="accent1"/>
        </w:rPr>
        <w:lastRenderedPageBreak/>
        <w:t xml:space="preserve">“Before Oxfam came, our women’s group was already talking about sanitation and school dropout. </w:t>
      </w:r>
      <w:proofErr w:type="gramStart"/>
      <w:r w:rsidRPr="008D45EE">
        <w:rPr>
          <w:i/>
          <w:color w:val="4472C4" w:themeColor="accent1"/>
        </w:rPr>
        <w:t>So</w:t>
      </w:r>
      <w:proofErr w:type="gramEnd"/>
      <w:r w:rsidRPr="008D45EE">
        <w:rPr>
          <w:i/>
          <w:color w:val="4472C4" w:themeColor="accent1"/>
        </w:rPr>
        <w:t xml:space="preserve"> when they brought the training, we were ready.”</w:t>
      </w:r>
    </w:p>
    <w:p w14:paraId="49F37181" w14:textId="77777777" w:rsidR="000B01D3" w:rsidRDefault="000B01D3" w:rsidP="008D45EE">
      <w:pPr>
        <w:pBdr>
          <w:left w:val="single" w:sz="2" w:space="4" w:color="A6A6A6" w:themeColor="background1" w:themeShade="A6"/>
        </w:pBdr>
      </w:pPr>
      <w:r>
        <w:t>— KII with Female Leader, Biu Ward</w:t>
      </w:r>
    </w:p>
    <w:p w14:paraId="576DEC5A" w14:textId="77777777" w:rsidR="000B01D3" w:rsidRDefault="000B01D3" w:rsidP="000B01D3">
      <w:r>
        <w:t>Despite these strengths, civil society efforts remain uneven. In Kwaya Kusar, for example, CDAs are less visible, and CAGs face challenges of elite capture and symbolic participation. Respondents in Lokoro Ward (Guyuk) expressed concern that some NGOs operate in a project-based manner, with limited long-term engagement:</w:t>
      </w:r>
    </w:p>
    <w:p w14:paraId="40763B9C" w14:textId="77777777" w:rsidR="000B01D3" w:rsidRPr="008D45EE" w:rsidRDefault="000B01D3" w:rsidP="008D45EE">
      <w:pPr>
        <w:pBdr>
          <w:left w:val="single" w:sz="2" w:space="4" w:color="A6A6A6" w:themeColor="background1" w:themeShade="A6"/>
        </w:pBdr>
        <w:rPr>
          <w:i/>
          <w:color w:val="4472C4" w:themeColor="accent1"/>
        </w:rPr>
      </w:pPr>
      <w:r w:rsidRPr="008D45EE">
        <w:rPr>
          <w:i/>
          <w:color w:val="4472C4" w:themeColor="accent1"/>
        </w:rPr>
        <w:t>“Some NGOs only come when there's a project. When the funding ends, they leave, and the community is left the same.”</w:t>
      </w:r>
    </w:p>
    <w:p w14:paraId="12D9A5C4" w14:textId="77777777" w:rsidR="000B01D3" w:rsidRDefault="000B01D3" w:rsidP="008D45EE">
      <w:pPr>
        <w:pBdr>
          <w:left w:val="single" w:sz="2" w:space="4" w:color="A6A6A6" w:themeColor="background1" w:themeShade="A6"/>
        </w:pBdr>
      </w:pPr>
      <w:r>
        <w:t>— FGD with Women, Lokoro Ward, Guyuk LGA</w:t>
      </w:r>
    </w:p>
    <w:p w14:paraId="52DCAD32" w14:textId="77777777" w:rsidR="000B01D3" w:rsidRDefault="000B01D3" w:rsidP="000B01D3">
      <w:r>
        <w:t>This quote reflects a broader concern about sustainability and continuity, rather than a critique of all NGOs. It underscores the need for stronger exit strategies and local ownership of interventions.</w:t>
      </w:r>
    </w:p>
    <w:p w14:paraId="05B15733" w14:textId="77777777" w:rsidR="000B01D3" w:rsidRDefault="000B01D3" w:rsidP="000B01D3">
      <w:r>
        <w:t>Where collaboration between CSOs, traditional leaders, and local government is strong, the benefits are tangible. In Biu, for instance, respondents noted that such partnerships have led to faster conflict resolution, improved trust in governance, and more inclusive targeting of aid. In Bobini Ward (Guyuk), joint planning between CDAs, CAGs, and religious leaders helped ensure that women and youth were represented in CDP discussions.</w:t>
      </w:r>
    </w:p>
    <w:p w14:paraId="47D35E30" w14:textId="77777777" w:rsidR="000B01D3" w:rsidRPr="008D45EE" w:rsidRDefault="000B01D3" w:rsidP="008D45EE">
      <w:pPr>
        <w:pBdr>
          <w:left w:val="single" w:sz="2" w:space="4" w:color="A6A6A6" w:themeColor="background1" w:themeShade="A6"/>
        </w:pBdr>
        <w:rPr>
          <w:i/>
          <w:color w:val="4472C4" w:themeColor="accent1"/>
        </w:rPr>
      </w:pPr>
      <w:r w:rsidRPr="008D45EE">
        <w:rPr>
          <w:i/>
          <w:color w:val="4472C4" w:themeColor="accent1"/>
        </w:rPr>
        <w:t>“When all the right people are involved from the beginning, no one feels left out. It reduces conflict and increases commitment.”</w:t>
      </w:r>
    </w:p>
    <w:p w14:paraId="12D125E4" w14:textId="77777777" w:rsidR="000B01D3" w:rsidRDefault="000B01D3" w:rsidP="008D45EE">
      <w:pPr>
        <w:pBdr>
          <w:left w:val="single" w:sz="2" w:space="4" w:color="A6A6A6" w:themeColor="background1" w:themeShade="A6"/>
        </w:pBdr>
      </w:pPr>
      <w:r>
        <w:t>— FGD with Men, Bobini Ward, Guyuk LGA</w:t>
      </w:r>
    </w:p>
    <w:p w14:paraId="000001A9" w14:textId="269336B8" w:rsidR="00D84B93" w:rsidRDefault="000B01D3" w:rsidP="000B01D3">
      <w:r>
        <w:t>However, these successes are not uniform. In Kwaya Kusar, respondents described how traditional leaders often dominate both CDAs and CAGs, limiting the space for youth and women to contribute meaningfully. This reinforces the need for rotational leadership, transparent nomination processes, and stronger facilitation support in wards with entrenched hierarchies.</w:t>
      </w:r>
      <w:r w:rsidDel="000B01D3">
        <w:t xml:space="preserve"> </w:t>
      </w:r>
    </w:p>
    <w:p w14:paraId="000001AA" w14:textId="77777777" w:rsidR="00D84B93" w:rsidRDefault="00D84B93">
      <w:pPr>
        <w:rPr>
          <w:b/>
          <w:color w:val="44841A"/>
          <w:sz w:val="6"/>
          <w:szCs w:val="6"/>
        </w:rPr>
      </w:pPr>
    </w:p>
    <w:p w14:paraId="000001AB" w14:textId="77777777" w:rsidR="00D84B93" w:rsidRDefault="74984958" w:rsidP="74984958">
      <w:pPr>
        <w:rPr>
          <w:b/>
          <w:bCs/>
          <w:color w:val="44841A"/>
        </w:rPr>
      </w:pPr>
      <w:r w:rsidRPr="74984958">
        <w:rPr>
          <w:b/>
          <w:bCs/>
          <w:color w:val="44841A"/>
        </w:rPr>
        <w:t>4.4.3 Governance Inclusion and Power Imbalances</w:t>
      </w:r>
    </w:p>
    <w:p w14:paraId="3B128C12" w14:textId="77777777" w:rsidR="00CD143E" w:rsidRDefault="596EB80C" w:rsidP="00CD143E">
      <w:r>
        <w:t xml:space="preserve">The </w:t>
      </w:r>
      <w:proofErr w:type="spellStart"/>
      <w:r w:rsidR="00CD143E">
        <w:t>The</w:t>
      </w:r>
      <w:proofErr w:type="spellEnd"/>
      <w:r w:rsidR="00CD143E">
        <w:t xml:space="preserve"> governance landscape across Biu, Guyuk, and Kwaya Kusar LGAs is shaped by entrenched power hierarchies in which traditional leaders and political elites dominate local decision-making. While these actors are often respected and serve as key coordinators, their dominance limits participatory governance and systematically sidelines women, youth, persons with disabilities (PWDs), and displaced populations from meaningful leadership roles.</w:t>
      </w:r>
    </w:p>
    <w:p w14:paraId="44EE08FD" w14:textId="77777777" w:rsidR="00CD143E" w:rsidRDefault="00CD143E" w:rsidP="00CD143E">
      <w:r>
        <w:t>Quantitative data confirms this imbalance. When asked who holds the most influence in community development planning:</w:t>
      </w:r>
    </w:p>
    <w:p w14:paraId="588F53F7" w14:textId="77777777" w:rsidR="00CD143E" w:rsidRDefault="00CD143E" w:rsidP="008D45EE">
      <w:pPr>
        <w:pStyle w:val="ListParagraph"/>
        <w:numPr>
          <w:ilvl w:val="0"/>
          <w:numId w:val="22"/>
        </w:numPr>
      </w:pPr>
      <w:r>
        <w:t>28% of respondents identified traditional leaders,</w:t>
      </w:r>
    </w:p>
    <w:p w14:paraId="0D9502A0" w14:textId="77777777" w:rsidR="00CD143E" w:rsidRDefault="00CD143E" w:rsidP="008D45EE">
      <w:pPr>
        <w:pStyle w:val="ListParagraph"/>
        <w:numPr>
          <w:ilvl w:val="0"/>
          <w:numId w:val="22"/>
        </w:numPr>
      </w:pPr>
      <w:r>
        <w:t>22% cited local government officials,</w:t>
      </w:r>
    </w:p>
    <w:p w14:paraId="28926A13" w14:textId="77777777" w:rsidR="00CD143E" w:rsidRDefault="00CD143E" w:rsidP="008D45EE">
      <w:pPr>
        <w:pStyle w:val="ListParagraph"/>
        <w:numPr>
          <w:ilvl w:val="0"/>
          <w:numId w:val="22"/>
        </w:numPr>
      </w:pPr>
      <w:r>
        <w:t>14% mentioned religious institutions,</w:t>
      </w:r>
    </w:p>
    <w:p w14:paraId="13FC2C5A" w14:textId="441ECFBA" w:rsidR="00CD143E" w:rsidRDefault="00DB5B97" w:rsidP="008D45EE">
      <w:pPr>
        <w:pStyle w:val="ListParagraph"/>
        <w:numPr>
          <w:ilvl w:val="0"/>
          <w:numId w:val="22"/>
        </w:numPr>
      </w:pPr>
      <w:r w:rsidRPr="00DB5B97">
        <w:t xml:space="preserve">Only 13% recognised women’s groups and 16% recognised youth groups as having any meaningful influence in community development </w:t>
      </w:r>
      <w:proofErr w:type="gramStart"/>
      <w:r w:rsidRPr="00DB5B97">
        <w:t>planning.</w:t>
      </w:r>
      <w:r w:rsidR="00CD143E">
        <w:t>.</w:t>
      </w:r>
      <w:proofErr w:type="gramEnd"/>
    </w:p>
    <w:p w14:paraId="4C3E3D2E" w14:textId="60B98298" w:rsidR="00CD143E" w:rsidRDefault="00CD143E" w:rsidP="00CD143E">
      <w:r>
        <w:lastRenderedPageBreak/>
        <w:t xml:space="preserve">PWD representation was described as “almost invisible” across all locations. While no specific percentage was recorded for each LGA, the absence of PWDs in planning spaces was consistently noted in FGDs </w:t>
      </w:r>
      <w:r w:rsidR="005E21D0">
        <w:t>a</w:t>
      </w:r>
      <w:r>
        <w:t>nd KIIs, indicating a systemic gap in inclusion.</w:t>
      </w:r>
    </w:p>
    <w:p w14:paraId="32859C9A" w14:textId="77777777" w:rsidR="00CD143E" w:rsidRDefault="00CD143E" w:rsidP="00CD143E">
      <w:r>
        <w:t>Exclusion is more pronounced in Guyuk, where 21% of respondents flagged the exclusion of specific groups—especially women and youth—as a barrier to governance. This compares to 15% in Kwaya Kusar and 9% in Biu, suggesting that while exclusion is widespread, its visibility and community sensitivity vary by location.</w:t>
      </w:r>
    </w:p>
    <w:p w14:paraId="7EFB0B61" w14:textId="77777777" w:rsidR="00CD143E" w:rsidRDefault="00CD143E" w:rsidP="00CD143E">
      <w:r>
        <w:t>These dynamics are compounded by systemic barriers. Across the sample:</w:t>
      </w:r>
    </w:p>
    <w:p w14:paraId="480B7BAE" w14:textId="77777777" w:rsidR="00CD143E" w:rsidRDefault="00CD143E" w:rsidP="008D45EE">
      <w:pPr>
        <w:pStyle w:val="ListParagraph"/>
        <w:numPr>
          <w:ilvl w:val="0"/>
          <w:numId w:val="23"/>
        </w:numPr>
      </w:pPr>
      <w:r>
        <w:t>41% of respondents cited lack of awareness or information as the main reason for limited participation.</w:t>
      </w:r>
    </w:p>
    <w:p w14:paraId="7B949681" w14:textId="77777777" w:rsidR="00CD143E" w:rsidRDefault="00CD143E" w:rsidP="008D45EE">
      <w:pPr>
        <w:pStyle w:val="ListParagraph"/>
        <w:numPr>
          <w:ilvl w:val="0"/>
          <w:numId w:val="23"/>
        </w:numPr>
      </w:pPr>
      <w:r>
        <w:t>16% pointed to cultural or religious restrictions, particularly in communities where women are discouraged from speaking in public.</w:t>
      </w:r>
    </w:p>
    <w:p w14:paraId="0E5EB9F8" w14:textId="77777777" w:rsidR="00CD143E" w:rsidRDefault="00CD143E" w:rsidP="008D45EE">
      <w:pPr>
        <w:pStyle w:val="ListParagraph"/>
        <w:numPr>
          <w:ilvl w:val="0"/>
          <w:numId w:val="23"/>
        </w:numPr>
      </w:pPr>
      <w:r>
        <w:t>12% mentioned fear of intimidation.</w:t>
      </w:r>
    </w:p>
    <w:p w14:paraId="6311102C" w14:textId="77777777" w:rsidR="00CD143E" w:rsidRDefault="00CD143E" w:rsidP="008D45EE">
      <w:pPr>
        <w:pStyle w:val="ListParagraph"/>
        <w:numPr>
          <w:ilvl w:val="0"/>
          <w:numId w:val="23"/>
        </w:numPr>
      </w:pPr>
      <w:r>
        <w:t>Another 12% expressed limited trust in governance institutions, a sentiment more common among youth and displaced persons.</w:t>
      </w:r>
    </w:p>
    <w:p w14:paraId="20A640DA" w14:textId="77777777" w:rsidR="00CD143E" w:rsidRPr="008D45EE" w:rsidRDefault="00CD143E" w:rsidP="008D45EE">
      <w:pPr>
        <w:pBdr>
          <w:left w:val="single" w:sz="2" w:space="4" w:color="A6A6A6" w:themeColor="background1" w:themeShade="A6"/>
        </w:pBdr>
        <w:rPr>
          <w:i/>
          <w:color w:val="4472C4" w:themeColor="accent1"/>
        </w:rPr>
      </w:pPr>
      <w:r w:rsidRPr="008D45EE">
        <w:rPr>
          <w:i/>
          <w:color w:val="4472C4" w:themeColor="accent1"/>
        </w:rPr>
        <w:t>“Women can attend meetings, but we cannot speak freely unless someone gives us the chance. Most decisions are already made before we arrive.”</w:t>
      </w:r>
    </w:p>
    <w:p w14:paraId="2512AF02" w14:textId="77777777" w:rsidR="00CD143E" w:rsidRDefault="00CD143E" w:rsidP="008D45EE">
      <w:pPr>
        <w:pBdr>
          <w:left w:val="single" w:sz="2" w:space="4" w:color="A6A6A6" w:themeColor="background1" w:themeShade="A6"/>
        </w:pBdr>
      </w:pPr>
      <w:r>
        <w:t>— FGD with Women, Guyuk LGA</w:t>
      </w:r>
    </w:p>
    <w:p w14:paraId="58D0A1F6" w14:textId="77777777" w:rsidR="00CD143E" w:rsidRDefault="00CD143E" w:rsidP="00CD143E"/>
    <w:p w14:paraId="56E24A16" w14:textId="77777777" w:rsidR="00CD143E" w:rsidRPr="008D45EE" w:rsidRDefault="00CD143E" w:rsidP="008D45EE">
      <w:pPr>
        <w:pBdr>
          <w:left w:val="single" w:sz="2" w:space="4" w:color="A6A6A6" w:themeColor="background1" w:themeShade="A6"/>
        </w:pBdr>
        <w:rPr>
          <w:i/>
          <w:color w:val="4472C4" w:themeColor="accent1"/>
        </w:rPr>
      </w:pPr>
      <w:r w:rsidRPr="008D45EE">
        <w:rPr>
          <w:i/>
          <w:color w:val="4472C4" w:themeColor="accent1"/>
        </w:rPr>
        <w:t>“They say youth are the future, but we are never called when it’s time to decide something. We’re only involved when it’s about labour or celebrations.”</w:t>
      </w:r>
    </w:p>
    <w:p w14:paraId="4241012A" w14:textId="77777777" w:rsidR="00CD143E" w:rsidRDefault="00CD143E" w:rsidP="008D45EE">
      <w:pPr>
        <w:pBdr>
          <w:left w:val="single" w:sz="2" w:space="4" w:color="A6A6A6" w:themeColor="background1" w:themeShade="A6"/>
        </w:pBdr>
      </w:pPr>
      <w:r>
        <w:t>— FGD with Youth, Biu Ward</w:t>
      </w:r>
    </w:p>
    <w:p w14:paraId="000001B2" w14:textId="5A253496" w:rsidR="00D84B93" w:rsidRDefault="00CD143E" w:rsidP="00CD143E">
      <w:r>
        <w:t>Power is also concentrated within a narrow circle of gatekeepers. In several wards—especially in Kwaya Kusar and Lokoro (Guyuk)—participants reported that a small group of men, often elders or those aligned with traditional leaders, control access to resources, participation in programmes, and priority-setting. While this may appear as personal interest, it reflects broader patterns of informal power consolidation that limit transparency and equity in governance</w:t>
      </w:r>
      <w:r w:rsidR="5D0096AC">
        <w:t>.</w:t>
      </w:r>
    </w:p>
    <w:p w14:paraId="63C632AE" w14:textId="77777777" w:rsidR="00E368C5" w:rsidRPr="008D45EE" w:rsidRDefault="00E368C5" w:rsidP="008D45EE">
      <w:pPr>
        <w:pBdr>
          <w:left w:val="single" w:sz="2" w:space="1" w:color="A6A6A6" w:themeColor="background1" w:themeShade="A6"/>
        </w:pBdr>
        <w:rPr>
          <w:i/>
          <w:color w:val="4472C4" w:themeColor="accent1"/>
        </w:rPr>
      </w:pPr>
      <w:r w:rsidRPr="008D45EE">
        <w:rPr>
          <w:i/>
          <w:color w:val="4472C4" w:themeColor="accent1"/>
        </w:rPr>
        <w:t>“There are some families or people who are always included in everything. The rest of us just watch.”</w:t>
      </w:r>
    </w:p>
    <w:p w14:paraId="627835B6" w14:textId="45933AF1" w:rsidR="00E368C5" w:rsidRDefault="00E368C5" w:rsidP="008D45EE">
      <w:pPr>
        <w:pBdr>
          <w:left w:val="single" w:sz="2" w:space="1" w:color="A6A6A6" w:themeColor="background1" w:themeShade="A6"/>
        </w:pBdr>
      </w:pPr>
      <w:r>
        <w:t>— FGD with Men, Kwaya Kusar Ward</w:t>
      </w:r>
    </w:p>
    <w:p w14:paraId="000001B3" w14:textId="77777777" w:rsidR="00D84B93" w:rsidRDefault="00AC6398">
      <w:pPr>
        <w:keepNext/>
      </w:pPr>
      <w:r>
        <w:rPr>
          <w:noProof/>
        </w:rPr>
        <w:lastRenderedPageBreak/>
        <w:drawing>
          <wp:inline distT="0" distB="0" distL="0" distR="0" wp14:anchorId="0E59EA6A" wp14:editId="2A82A8B2">
            <wp:extent cx="5734050" cy="1791129"/>
            <wp:effectExtent l="0" t="0" r="0" b="0"/>
            <wp:docPr id="2142450655" name="Chart 2142450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0001B4" w14:textId="77777777" w:rsidR="00D84B93" w:rsidRDefault="00AC6398">
      <w:pPr>
        <w:pBdr>
          <w:top w:val="nil"/>
          <w:left w:val="nil"/>
          <w:bottom w:val="nil"/>
          <w:right w:val="nil"/>
          <w:between w:val="nil"/>
        </w:pBdr>
        <w:spacing w:after="200" w:line="240" w:lineRule="auto"/>
        <w:rPr>
          <w:i/>
          <w:color w:val="44546A"/>
          <w:sz w:val="22"/>
          <w:szCs w:val="22"/>
        </w:rPr>
      </w:pPr>
      <w:bookmarkStart w:id="62" w:name="_heading=h.2npchtdjgk24" w:colFirst="0" w:colLast="0"/>
      <w:bookmarkEnd w:id="62"/>
      <w:r>
        <w:rPr>
          <w:i/>
          <w:color w:val="44546A"/>
          <w:sz w:val="22"/>
          <w:szCs w:val="22"/>
        </w:rPr>
        <w:t>Figure 11 Potential Socio-Political Barriers to Project Implementation</w:t>
      </w:r>
    </w:p>
    <w:p w14:paraId="6089739B" w14:textId="77777777" w:rsidR="00E368C5" w:rsidRDefault="00E368C5" w:rsidP="00E368C5">
      <w:pPr>
        <w:pBdr>
          <w:top w:val="nil"/>
          <w:left w:val="nil"/>
          <w:bottom w:val="nil"/>
          <w:right w:val="nil"/>
          <w:between w:val="nil"/>
        </w:pBdr>
        <w:spacing w:after="200" w:line="240" w:lineRule="auto"/>
      </w:pPr>
      <w:r>
        <w:t>This contributes to perceptions of elite capture, with 26% of respondents across the LGAs identifying it as a serious governance concern. The issue was most acute in Kwaya Kusar, where 44% of respondents linked elite interference to exclusion from development opportunities.</w:t>
      </w:r>
    </w:p>
    <w:p w14:paraId="650C3192" w14:textId="77777777" w:rsidR="00E368C5" w:rsidRDefault="00E368C5" w:rsidP="00E368C5">
      <w:pPr>
        <w:pBdr>
          <w:top w:val="nil"/>
          <w:left w:val="nil"/>
          <w:bottom w:val="nil"/>
          <w:right w:val="nil"/>
          <w:between w:val="nil"/>
        </w:pBdr>
        <w:spacing w:after="200" w:line="240" w:lineRule="auto"/>
      </w:pPr>
      <w:r>
        <w:t>Conflicts between elected officials and traditional authorities also emerged as a barrier to inclusive governance. In multiple wards, these tensions have delayed programme rollouts or created confusion about who represents the community.</w:t>
      </w:r>
    </w:p>
    <w:p w14:paraId="058364C4" w14:textId="77777777" w:rsidR="00E368C5" w:rsidRPr="008D45EE" w:rsidRDefault="00E368C5" w:rsidP="008D45EE">
      <w:pPr>
        <w:pBdr>
          <w:left w:val="single" w:sz="2" w:space="1" w:color="A6A6A6" w:themeColor="background1" w:themeShade="A6"/>
        </w:pBdr>
        <w:rPr>
          <w:i/>
          <w:color w:val="4472C4" w:themeColor="accent1"/>
        </w:rPr>
      </w:pPr>
      <w:r w:rsidRPr="008D45EE">
        <w:rPr>
          <w:i/>
          <w:color w:val="4472C4" w:themeColor="accent1"/>
        </w:rPr>
        <w:t>“Sometimes the ward head and the councillor don’t agree. This creates confusion for us. Each wants the NGO to deal with them directly.”</w:t>
      </w:r>
    </w:p>
    <w:p w14:paraId="1CBD664F" w14:textId="77777777" w:rsidR="00E368C5" w:rsidRDefault="00E368C5" w:rsidP="008D45EE">
      <w:pPr>
        <w:pBdr>
          <w:top w:val="nil"/>
          <w:left w:val="single" w:sz="2" w:space="1" w:color="A6A6A6" w:themeColor="background1" w:themeShade="A6"/>
          <w:bottom w:val="nil"/>
          <w:right w:val="nil"/>
          <w:between w:val="nil"/>
        </w:pBdr>
        <w:spacing w:after="200" w:line="240" w:lineRule="auto"/>
      </w:pPr>
      <w:r>
        <w:t>— FGD with Men, Lokoro Ward, Guyuk LGA</w:t>
      </w:r>
    </w:p>
    <w:p w14:paraId="000001B9" w14:textId="23B171F6" w:rsidR="00D84B93" w:rsidRDefault="00E368C5">
      <w:r>
        <w:t xml:space="preserve">Despite these challenges, there are signs of gradual progress. In wards where NGOs have facilitated inclusive dialogue platforms—such as </w:t>
      </w:r>
      <w:proofErr w:type="spellStart"/>
      <w:r>
        <w:t>Banjiram</w:t>
      </w:r>
      <w:proofErr w:type="spellEnd"/>
      <w:r>
        <w:t xml:space="preserve"> (</w:t>
      </w:r>
      <w:proofErr w:type="spellStart"/>
      <w:r>
        <w:t>Guyuk</w:t>
      </w:r>
      <w:proofErr w:type="spellEnd"/>
      <w:r>
        <w:t xml:space="preserve">) and </w:t>
      </w:r>
      <w:proofErr w:type="spellStart"/>
      <w:r>
        <w:t>Zarawuyaku</w:t>
      </w:r>
      <w:proofErr w:type="spellEnd"/>
      <w:r>
        <w:t xml:space="preserve"> (Biu)—respondents noted growing openness from traditional leaders to consult women and youth. However, these gains remain fragile and heavily reliant on external support rather than institutionalised reform</w:t>
      </w:r>
      <w:r w:rsidR="5D0096AC">
        <w:t>.</w:t>
      </w:r>
    </w:p>
    <w:p w14:paraId="000001BA" w14:textId="77777777" w:rsidR="00D84B93" w:rsidRDefault="00D84B93">
      <w:pPr>
        <w:rPr>
          <w:sz w:val="14"/>
          <w:szCs w:val="14"/>
        </w:rPr>
      </w:pPr>
    </w:p>
    <w:p w14:paraId="000001BB" w14:textId="77777777" w:rsidR="00D84B93" w:rsidRDefault="74984958">
      <w:pPr>
        <w:pStyle w:val="Heading2"/>
      </w:pPr>
      <w:bookmarkStart w:id="63" w:name="_Toc207390334"/>
      <w:r>
        <w:t>4.5 Risks to Citizens’ Participation in Governance</w:t>
      </w:r>
      <w:bookmarkEnd w:id="63"/>
    </w:p>
    <w:p w14:paraId="000001BC" w14:textId="77777777" w:rsidR="00D84B93" w:rsidRDefault="00AC6398">
      <w:pPr>
        <w:pStyle w:val="Heading3"/>
        <w:rPr>
          <w:b w:val="0"/>
        </w:rPr>
      </w:pPr>
      <w:bookmarkStart w:id="64" w:name="_Toc207390335"/>
      <w:r>
        <w:t>4.5.1 Barriers to Participation and Trust Deficits</w:t>
      </w:r>
      <w:bookmarkEnd w:id="64"/>
    </w:p>
    <w:p w14:paraId="7B58710F" w14:textId="3DC5D72F" w:rsidR="009C3983" w:rsidRDefault="5D0096AC" w:rsidP="009C3983">
      <w:r>
        <w:t xml:space="preserve">While </w:t>
      </w:r>
      <w:r w:rsidR="009C3983">
        <w:t>many communities in Biu, Guyuk, and Kwaya Kusar expressed a desire for more inclusive governance, structural and social barriers continue to limit meaningful participation in decision-making processes. The baseline findings indicate that a significant portion of the population—particularly women, youth, persons with disabilities (PWDs), returnees, and internally displaced persons (IDPs)—feel marginalised, disempowered, or actively excluded from community governance.</w:t>
      </w:r>
    </w:p>
    <w:p w14:paraId="24270897" w14:textId="77777777" w:rsidR="009C3983" w:rsidRDefault="009C3983" w:rsidP="008D45EE">
      <w:pPr>
        <w:pStyle w:val="Heading5"/>
      </w:pPr>
      <w:r>
        <w:t>Fear, Intimidation, and Cultural Norms</w:t>
      </w:r>
    </w:p>
    <w:p w14:paraId="08815FED" w14:textId="77777777" w:rsidR="009C3983" w:rsidRDefault="009C3983" w:rsidP="009C3983">
      <w:r>
        <w:t>Across all three LGAs, fear of intimidation and respect for traditional authority were frequently cited as reasons for disengagement. In Kwaya Kusar, for example, respondents described how questioning elders or chiefs could be perceived as disrespectful, discouraging open dialogue:</w:t>
      </w:r>
    </w:p>
    <w:p w14:paraId="6649BD1E" w14:textId="77777777" w:rsidR="009C3983" w:rsidRDefault="009C3983" w:rsidP="009C3983"/>
    <w:p w14:paraId="35E926AE"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lastRenderedPageBreak/>
        <w:t>“Traditional respect for authority makes it difficult to question decisions made by chiefs or elders. If you disagree, people might see you as disrespectful.”</w:t>
      </w:r>
    </w:p>
    <w:p w14:paraId="4C7DA193" w14:textId="77777777" w:rsidR="009C3983" w:rsidRDefault="009C3983" w:rsidP="008D45EE">
      <w:pPr>
        <w:pBdr>
          <w:left w:val="single" w:sz="2" w:space="4" w:color="A6A6A6" w:themeColor="background1" w:themeShade="A6"/>
        </w:pBdr>
      </w:pPr>
      <w:r>
        <w:t xml:space="preserve">— FGD with Community Member, </w:t>
      </w:r>
      <w:proofErr w:type="spellStart"/>
      <w:r>
        <w:t>Gusi</w:t>
      </w:r>
      <w:proofErr w:type="spellEnd"/>
      <w:r>
        <w:t xml:space="preserve"> Ward, </w:t>
      </w:r>
      <w:proofErr w:type="spellStart"/>
      <w:r>
        <w:t>Kwaya</w:t>
      </w:r>
      <w:proofErr w:type="spellEnd"/>
      <w:r>
        <w:t xml:space="preserve"> Kusar LGA</w:t>
      </w:r>
    </w:p>
    <w:p w14:paraId="11D36042" w14:textId="77777777" w:rsidR="009C3983" w:rsidRDefault="009C3983" w:rsidP="009C3983">
      <w:r>
        <w:t>While this may appear as a cultural norm, it has real consequences. In Biu, a male farmer recounted how fear of political retaliation discouraged participation:</w:t>
      </w:r>
    </w:p>
    <w:p w14:paraId="7BBE35D9"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t>“My biggest concern about participating in community governance is that those with power and connections will still dominate all decisions... Some of us fear being too vocal because of security concerns. Anyone who criticises powerful people might be labelled as a troublemaker.”</w:t>
      </w:r>
    </w:p>
    <w:p w14:paraId="4B24CFED" w14:textId="77777777" w:rsidR="009C3983" w:rsidRDefault="009C3983" w:rsidP="008D45EE">
      <w:pPr>
        <w:pBdr>
          <w:left w:val="single" w:sz="2" w:space="4" w:color="A6A6A6" w:themeColor="background1" w:themeShade="A6"/>
        </w:pBdr>
      </w:pPr>
      <w:r>
        <w:t>— FGD with Male Farmer, Buratai Ward, Biu LGA</w:t>
      </w:r>
    </w:p>
    <w:p w14:paraId="45F12861" w14:textId="77777777" w:rsidR="009C3983" w:rsidRDefault="009C3983" w:rsidP="009C3983">
      <w:r>
        <w:t>These are not just hypothetical fears. In Lokoro Ward (Guyuk), respondents described past instances where individuals who challenged local leaders were excluded from aid distribution or not invited to subsequent meetings—highlighting the real risks of dissent.</w:t>
      </w:r>
    </w:p>
    <w:p w14:paraId="50E2F7F4" w14:textId="77777777" w:rsidR="009C3983" w:rsidRDefault="009C3983" w:rsidP="008D45EE">
      <w:pPr>
        <w:pStyle w:val="Heading5"/>
      </w:pPr>
      <w:r>
        <w:t>Lack of Awareness and Information Gaps</w:t>
      </w:r>
    </w:p>
    <w:p w14:paraId="2E4F3E5B" w14:textId="77777777" w:rsidR="009C3983" w:rsidRDefault="009C3983" w:rsidP="009C3983">
      <w:r>
        <w:t>A major barrier across all LGAs was lack of awareness about governance processes. In Kwaya Kusar, 66% of vulnerable respondents reported not knowing how to engage in the CDP process. In Biu, 32% expressed similar confusion, often citing unclear communication or absence of sensitisation.</w:t>
      </w:r>
    </w:p>
    <w:p w14:paraId="01BB1D27" w14:textId="77777777" w:rsidR="009C3983" w:rsidRDefault="009C3983" w:rsidP="009C3983">
      <w:r>
        <w:t>This disengagement is further reinforced by low literacy, limited civic education, and logistical challenges such as inaccessible meeting times and venues. For example, in Guyuk, IDPs and women traders reported that meetings were often held during market hours or in locations far from their homes.</w:t>
      </w:r>
    </w:p>
    <w:p w14:paraId="547DB3A0"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t>“We don’t feel welcomed or respected in community meetings. As IDPs, we are often seen as temporary people, even though many of us have lived here for years.”</w:t>
      </w:r>
    </w:p>
    <w:p w14:paraId="7560D7CF" w14:textId="77777777" w:rsidR="009C3983" w:rsidRDefault="009C3983" w:rsidP="008D45EE">
      <w:pPr>
        <w:pBdr>
          <w:left w:val="single" w:sz="2" w:space="4" w:color="A6A6A6" w:themeColor="background1" w:themeShade="A6"/>
        </w:pBdr>
      </w:pPr>
      <w:r>
        <w:t>— FGD with IDP Participant, Bobini Ward, Guyuk LGA</w:t>
      </w:r>
    </w:p>
    <w:p w14:paraId="135F83F5"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t>“I sell food in the market. Meetings are during my busiest time. If I leave, I lose money, and still, they don’t let us talk.”</w:t>
      </w:r>
    </w:p>
    <w:p w14:paraId="525618C8" w14:textId="77777777" w:rsidR="009C3983" w:rsidRDefault="009C3983" w:rsidP="008D45EE">
      <w:pPr>
        <w:pBdr>
          <w:left w:val="single" w:sz="2" w:space="4" w:color="A6A6A6" w:themeColor="background1" w:themeShade="A6"/>
        </w:pBdr>
      </w:pPr>
      <w:r>
        <w:t xml:space="preserve">— FGD with Woman Trader, </w:t>
      </w:r>
      <w:proofErr w:type="spellStart"/>
      <w:r>
        <w:t>Zarawuyaku</w:t>
      </w:r>
      <w:proofErr w:type="spellEnd"/>
      <w:r>
        <w:t xml:space="preserve"> Ward, Biu LGA</w:t>
      </w:r>
    </w:p>
    <w:p w14:paraId="73C32971" w14:textId="77777777" w:rsidR="009C3983" w:rsidRDefault="009C3983" w:rsidP="008D45EE">
      <w:pPr>
        <w:pStyle w:val="Heading5"/>
      </w:pPr>
      <w:r>
        <w:t>Youth and Gender-Based Exclusion</w:t>
      </w:r>
    </w:p>
    <w:p w14:paraId="2119CA11" w14:textId="77777777" w:rsidR="009C3983" w:rsidRDefault="009C3983" w:rsidP="009C3983">
      <w:r>
        <w:t xml:space="preserve">For youth and women, exclusion is often linked to status hierarchies and gender norms. In </w:t>
      </w:r>
      <w:proofErr w:type="spellStart"/>
      <w:r>
        <w:t>Zarawuyaku</w:t>
      </w:r>
      <w:proofErr w:type="spellEnd"/>
      <w:r>
        <w:t xml:space="preserve"> Ward (Biu), a young woman explained how her contributions were dismissed:</w:t>
      </w:r>
    </w:p>
    <w:p w14:paraId="70E9CFA6"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t>“Even if we have good ideas, we are told it's not our place to speak.”</w:t>
      </w:r>
    </w:p>
    <w:p w14:paraId="54CFF755" w14:textId="77777777" w:rsidR="009C3983" w:rsidRDefault="009C3983" w:rsidP="008D45EE">
      <w:pPr>
        <w:pBdr>
          <w:left w:val="single" w:sz="2" w:space="4" w:color="A6A6A6" w:themeColor="background1" w:themeShade="A6"/>
        </w:pBdr>
      </w:pPr>
      <w:r>
        <w:t xml:space="preserve">— FGD with Young Woman, </w:t>
      </w:r>
      <w:proofErr w:type="spellStart"/>
      <w:r>
        <w:t>Zarawuyaku</w:t>
      </w:r>
      <w:proofErr w:type="spellEnd"/>
      <w:r>
        <w:t xml:space="preserve"> Ward, Biu LGA</w:t>
      </w:r>
    </w:p>
    <w:p w14:paraId="2C3030ED" w14:textId="77777777" w:rsidR="009C3983" w:rsidRDefault="009C3983" w:rsidP="008D45EE">
      <w:pPr>
        <w:pBdr>
          <w:left w:val="single" w:sz="2" w:space="1" w:color="A6A6A6" w:themeColor="background1" w:themeShade="A6"/>
        </w:pBdr>
      </w:pPr>
      <w:r>
        <w:t>Young men in Lokoro Ward (Guyuk) echoed similar frustrations:</w:t>
      </w:r>
    </w:p>
    <w:p w14:paraId="3E5D874B" w14:textId="77777777" w:rsidR="009C3983" w:rsidRPr="008D45EE" w:rsidRDefault="009C3983" w:rsidP="008D45EE">
      <w:pPr>
        <w:pBdr>
          <w:left w:val="single" w:sz="2" w:space="1" w:color="A6A6A6" w:themeColor="background1" w:themeShade="A6"/>
        </w:pBdr>
        <w:rPr>
          <w:i/>
          <w:color w:val="4472C4" w:themeColor="accent1"/>
        </w:rPr>
      </w:pPr>
      <w:r w:rsidRPr="008D45EE">
        <w:rPr>
          <w:i/>
          <w:color w:val="4472C4" w:themeColor="accent1"/>
        </w:rPr>
        <w:t>“They say youth are the future, but we are never called when it’s time to decide something. We’re only involved when it’s about labour or celebrations.”</w:t>
      </w:r>
    </w:p>
    <w:p w14:paraId="251C0EE8" w14:textId="77777777" w:rsidR="009C3983" w:rsidRDefault="009C3983" w:rsidP="008D45EE">
      <w:pPr>
        <w:pBdr>
          <w:left w:val="single" w:sz="2" w:space="4" w:color="A6A6A6" w:themeColor="background1" w:themeShade="A6"/>
        </w:pBdr>
      </w:pPr>
      <w:r>
        <w:lastRenderedPageBreak/>
        <w:t>— FGD with Youth, Lokoro Ward, Guyuk LGA</w:t>
      </w:r>
    </w:p>
    <w:p w14:paraId="5415AA23" w14:textId="77777777" w:rsidR="009C3983" w:rsidRDefault="009C3983" w:rsidP="008D45EE">
      <w:pPr>
        <w:pStyle w:val="Heading5"/>
      </w:pPr>
      <w:r>
        <w:t>Discrimination Against Returnees and IDPs</w:t>
      </w:r>
    </w:p>
    <w:p w14:paraId="5E2CE21F" w14:textId="77777777" w:rsidR="009C3983" w:rsidRDefault="009C3983" w:rsidP="009C3983">
      <w:r>
        <w:t>Returnees and IDPs across all LGAs described subtle but persistent discrimination. Despite long-term residence, they are often viewed as outsiders and excluded from decision-making spaces.</w:t>
      </w:r>
    </w:p>
    <w:p w14:paraId="3C20C353" w14:textId="77777777" w:rsidR="009C3983" w:rsidRPr="008D45EE" w:rsidRDefault="009C3983" w:rsidP="008D45EE">
      <w:pPr>
        <w:pBdr>
          <w:left w:val="single" w:sz="2" w:space="4" w:color="A6A6A6" w:themeColor="background1" w:themeShade="A6"/>
        </w:pBdr>
        <w:rPr>
          <w:i/>
          <w:color w:val="4472C4" w:themeColor="accent1"/>
        </w:rPr>
      </w:pPr>
      <w:r w:rsidRPr="008D45EE">
        <w:rPr>
          <w:i/>
          <w:color w:val="4472C4" w:themeColor="accent1"/>
        </w:rPr>
        <w:t>“As IDPs, we are often treated as outsiders... That discourages us from participating.”</w:t>
      </w:r>
    </w:p>
    <w:p w14:paraId="4FF21501" w14:textId="77777777" w:rsidR="009C3983" w:rsidRDefault="009C3983" w:rsidP="008D45EE">
      <w:pPr>
        <w:pBdr>
          <w:left w:val="single" w:sz="2" w:space="4" w:color="A6A6A6" w:themeColor="background1" w:themeShade="A6"/>
        </w:pBdr>
      </w:pPr>
      <w:r>
        <w:t>— FGD with IDP Woman, Guyuk LGA</w:t>
      </w:r>
    </w:p>
    <w:p w14:paraId="04CBCBCD" w14:textId="77777777" w:rsidR="009C3983" w:rsidRDefault="009C3983" w:rsidP="008D45EE">
      <w:pPr>
        <w:pStyle w:val="Heading5"/>
      </w:pPr>
      <w:r>
        <w:t>Implications for Inclusive Governance</w:t>
      </w:r>
    </w:p>
    <w:p w14:paraId="000001C7" w14:textId="45581107" w:rsidR="00D84B93" w:rsidRDefault="009C3983" w:rsidP="009C3983">
      <w:r>
        <w:t>These exclusionary practices—whether rooted in fear, tradition, or poor communication—create a weak trust environment that undermines participation and leaves governance in the hands of a narrow elite. The result is a planning process that risks being unrepresentative and unsustainable</w:t>
      </w:r>
      <w:r w:rsidR="00AC6398">
        <w:t>.</w:t>
      </w:r>
    </w:p>
    <w:p w14:paraId="000001C8" w14:textId="77777777" w:rsidR="00D84B93" w:rsidRDefault="00D84B93">
      <w:pPr>
        <w:rPr>
          <w:sz w:val="2"/>
          <w:szCs w:val="2"/>
        </w:rPr>
      </w:pPr>
    </w:p>
    <w:p w14:paraId="000001C9" w14:textId="77777777" w:rsidR="00D84B93" w:rsidRDefault="00AC6398">
      <w:pPr>
        <w:pStyle w:val="Heading3"/>
      </w:pPr>
      <w:bookmarkStart w:id="65" w:name="_Toc207390336"/>
      <w:r>
        <w:t>4.5.2 Community-Envisioned Enablers</w:t>
      </w:r>
      <w:bookmarkEnd w:id="65"/>
    </w:p>
    <w:p w14:paraId="000001CA" w14:textId="368DFCA9" w:rsidR="00D84B93" w:rsidRDefault="00AC6398">
      <w:r>
        <w:t>Despite the widespread barriers to participation, community members across the LGAs demonstrated clear insight into what could strengthen inclusion, trust, and ownership in governance. Their suggestions</w:t>
      </w:r>
      <w:r w:rsidR="003E2A3F">
        <w:t xml:space="preserve">, </w:t>
      </w:r>
      <w:r>
        <w:t>drawn from direct lived experiences</w:t>
      </w:r>
      <w:r w:rsidR="003E2A3F">
        <w:t xml:space="preserve">, </w:t>
      </w:r>
      <w:r>
        <w:t>point to culturally grounded, practical solutions that could guide future interventions.</w:t>
      </w:r>
    </w:p>
    <w:p w14:paraId="000001CB" w14:textId="17DEE38D" w:rsidR="00D84B93" w:rsidRDefault="00AC6398">
      <w:r>
        <w:t>A recurring theme was the importance of trusted messengers and localised dialogue platforms. Many respondents expressed greater willingness to participate in governance processes when facilitated through traditional and religious leaders in informal, accessible settings. In Kwaya Kusar, for example, multiple informants recommended the use of community barazas</w:t>
      </w:r>
      <w:r w:rsidR="003E2A3F">
        <w:t xml:space="preserve">, </w:t>
      </w:r>
      <w:r>
        <w:t>small gatherings led by respected elders and held in local languages</w:t>
      </w:r>
      <w:r w:rsidR="003E2A3F">
        <w:t xml:space="preserve">, </w:t>
      </w:r>
      <w:r>
        <w:t>as a method for demystifying governance and encouraging broader participation.</w:t>
      </w:r>
    </w:p>
    <w:p w14:paraId="000001CC" w14:textId="77777777" w:rsidR="00D84B93" w:rsidRDefault="00AC6398" w:rsidP="008D45EE">
      <w:pPr>
        <w:pBdr>
          <w:left w:val="single" w:sz="2" w:space="4" w:color="000000" w:themeColor="text1"/>
        </w:pBdr>
        <w:jc w:val="left"/>
      </w:pPr>
      <w:r w:rsidRPr="00983488">
        <w:rPr>
          <w:i/>
          <w:color w:val="4472C4" w:themeColor="accent1"/>
        </w:rPr>
        <w:t>“People listen more when it’s the imam or the ward head speaking. If you want people to understand and join, use those they trust.”</w:t>
      </w:r>
      <w:r>
        <w:br/>
        <w:t>— KII with Religious Leader, Kwaya Kusar</w:t>
      </w:r>
    </w:p>
    <w:p w14:paraId="000001CD" w14:textId="77777777" w:rsidR="00D84B93" w:rsidRDefault="00AC6398">
      <w:r>
        <w:t>Respondents also emphasised the need for capacity-building efforts, particularly around civic education, leadership training for youth and women, and transparent communication. Many participants noted that exclusion is often not intentional but stems from limited understanding of rights and responsibilities.</w:t>
      </w:r>
    </w:p>
    <w:p w14:paraId="000001CE" w14:textId="77777777" w:rsidR="00D84B93" w:rsidRDefault="00AC6398" w:rsidP="008D45EE">
      <w:pPr>
        <w:pBdr>
          <w:left w:val="single" w:sz="2" w:space="4" w:color="000000" w:themeColor="text1"/>
        </w:pBdr>
        <w:jc w:val="left"/>
      </w:pPr>
      <w:r w:rsidRPr="00983488">
        <w:rPr>
          <w:i/>
          <w:color w:val="4472C4" w:themeColor="accent1"/>
        </w:rPr>
        <w:t>“We want training that teaches us how governance works and how we can be part of it. Many of us don’t know the process, so we stay quiet.”</w:t>
      </w:r>
      <w:r>
        <w:br/>
        <w:t>— FGD with Youth, Biu Ward</w:t>
      </w:r>
    </w:p>
    <w:p w14:paraId="000001CF" w14:textId="5E922524" w:rsidR="00D84B93" w:rsidRDefault="60256C05">
      <w:r>
        <w:t>Several communities also called for the creation of safe spaces for marginalised voices, including separate dialogue sessions for women, youth, and persons with disabilities. These spaces, they noted, allow freer expression without fear of embarrassment or dominance by traditional leaders.</w:t>
      </w:r>
    </w:p>
    <w:p w14:paraId="000001D2" w14:textId="77777777" w:rsidR="00D84B93" w:rsidRDefault="00AC6398">
      <w:r>
        <w:t xml:space="preserve">Finally, many participants stressed the value of inclusive community planning processes that involve people from all backgrounds in identifying needs, setting priorities, and monitoring </w:t>
      </w:r>
      <w:r>
        <w:lastRenderedPageBreak/>
        <w:t>progress. Where community development planning (CDP) had been introduced with participatory approaches, respondents noted improved collaboration and fewer tensions.</w:t>
      </w:r>
    </w:p>
    <w:p w14:paraId="000001D3" w14:textId="77777777" w:rsidR="00D84B93" w:rsidRDefault="00AC6398">
      <w:pPr>
        <w:pBdr>
          <w:left w:val="single" w:sz="4" w:space="4" w:color="000000"/>
        </w:pBdr>
        <w:jc w:val="left"/>
      </w:pPr>
      <w:r w:rsidRPr="00983488">
        <w:rPr>
          <w:i/>
          <w:color w:val="4472C4" w:themeColor="accent1"/>
        </w:rPr>
        <w:t>“Let us all be part of planning from the beginning. That way, we can all benefit and reduce conflict.”</w:t>
      </w:r>
      <w:r>
        <w:br/>
        <w:t>— FGD with Men, Biu LGA</w:t>
      </w:r>
    </w:p>
    <w:p w14:paraId="000001D4" w14:textId="77777777" w:rsidR="00D84B93" w:rsidRDefault="00AC6398">
      <w:r>
        <w:t>These community-proposed enablers offer actionable entry points for designing governance and development interventions that are not only effective but owned and sustained by the people they aim to serve.</w:t>
      </w:r>
    </w:p>
    <w:p w14:paraId="000001D5" w14:textId="77777777" w:rsidR="00D84B93" w:rsidRDefault="00D84B93">
      <w:pPr>
        <w:rPr>
          <w:sz w:val="2"/>
          <w:szCs w:val="2"/>
        </w:rPr>
      </w:pPr>
    </w:p>
    <w:p w14:paraId="000001D6" w14:textId="77777777" w:rsidR="00D84B93" w:rsidRDefault="00AC6398">
      <w:pPr>
        <w:pStyle w:val="Heading2"/>
      </w:pPr>
      <w:bookmarkStart w:id="66" w:name="_Toc207390337"/>
      <w:r>
        <w:t>4.6 Socio-Political Factors Affecting Implementation</w:t>
      </w:r>
      <w:bookmarkEnd w:id="66"/>
    </w:p>
    <w:p w14:paraId="000001D7" w14:textId="77777777" w:rsidR="00D84B93" w:rsidRDefault="40030543">
      <w:pPr>
        <w:pStyle w:val="Heading3"/>
      </w:pPr>
      <w:bookmarkStart w:id="67" w:name="_Toc207390338"/>
      <w:r>
        <w:t>4.6.1 Local Politics, Power Struggles, and Gatekeeping</w:t>
      </w:r>
      <w:bookmarkEnd w:id="67"/>
    </w:p>
    <w:p w14:paraId="767AE198" w14:textId="77777777" w:rsidR="00B36BA0" w:rsidRDefault="00AC6398" w:rsidP="00B36BA0">
      <w:r>
        <w:t xml:space="preserve">The </w:t>
      </w:r>
      <w:proofErr w:type="spellStart"/>
      <w:r w:rsidR="00B36BA0">
        <w:t>The</w:t>
      </w:r>
      <w:proofErr w:type="spellEnd"/>
      <w:r w:rsidR="00B36BA0">
        <w:t xml:space="preserve"> implementation of community development initiatives in Biu, Guyuk, and Kwaya Kusar is shaped by overlapping power structures involving traditional leaders, elected officials, and influential families. While these actors are central to local governance, their competing interests often create confusion, delay programme rollouts, and weaken coordination.</w:t>
      </w:r>
    </w:p>
    <w:p w14:paraId="6175150D" w14:textId="77777777" w:rsidR="00B36BA0" w:rsidRDefault="00B36BA0" w:rsidP="00B36BA0">
      <w:r>
        <w:t>In Guyuk, respondents described tensions between ward heads and councillors over who represents the community during NGO engagements:</w:t>
      </w:r>
    </w:p>
    <w:p w14:paraId="46E1E950" w14:textId="77777777" w:rsidR="00B36BA0" w:rsidRPr="008D45EE" w:rsidRDefault="00B36BA0" w:rsidP="008D45EE">
      <w:pPr>
        <w:pBdr>
          <w:left w:val="single" w:sz="2" w:space="1" w:color="000000" w:themeColor="text1"/>
        </w:pBdr>
        <w:jc w:val="left"/>
        <w:rPr>
          <w:i/>
          <w:color w:val="4472C4" w:themeColor="accent1"/>
        </w:rPr>
      </w:pPr>
      <w:r w:rsidRPr="008D45EE">
        <w:rPr>
          <w:i/>
          <w:color w:val="4472C4" w:themeColor="accent1"/>
        </w:rPr>
        <w:t>“Sometimes the ward head and the councillor both want to speak for the community. They don’t always agree, and when an NGO comes, each wants to be the one to decide who gets included.”</w:t>
      </w:r>
    </w:p>
    <w:p w14:paraId="63C08B8F" w14:textId="77777777" w:rsidR="00B36BA0" w:rsidRDefault="00B36BA0" w:rsidP="008D45EE">
      <w:pPr>
        <w:pBdr>
          <w:left w:val="single" w:sz="2" w:space="1" w:color="000000" w:themeColor="text1"/>
        </w:pBdr>
      </w:pPr>
      <w:r>
        <w:t>— FGD with Men, Guyuk Ward</w:t>
      </w:r>
    </w:p>
    <w:p w14:paraId="3F44D365" w14:textId="77777777" w:rsidR="00B36BA0" w:rsidRDefault="00B36BA0" w:rsidP="00B36BA0">
      <w:r>
        <w:t>Gatekeeping—both formal and informal—was reported across all LGAs. In Kwaya Kusar, access to meetings and benefits is often controlled by a few influential individuals:</w:t>
      </w:r>
    </w:p>
    <w:p w14:paraId="0408FB27" w14:textId="77777777" w:rsidR="00B36BA0" w:rsidRPr="008D45EE" w:rsidRDefault="00B36BA0" w:rsidP="008D45EE">
      <w:pPr>
        <w:pBdr>
          <w:left w:val="single" w:sz="2" w:space="1" w:color="000000" w:themeColor="text1"/>
        </w:pBdr>
        <w:jc w:val="left"/>
        <w:rPr>
          <w:i/>
          <w:color w:val="4472C4" w:themeColor="accent1"/>
        </w:rPr>
      </w:pPr>
      <w:r w:rsidRPr="008D45EE">
        <w:rPr>
          <w:i/>
          <w:color w:val="4472C4" w:themeColor="accent1"/>
        </w:rPr>
        <w:t>“You can’t join anything unless you know someone. Some families get everything, while others are ignored, even if they are poor.”</w:t>
      </w:r>
    </w:p>
    <w:p w14:paraId="6797C116" w14:textId="77777777" w:rsidR="00B36BA0" w:rsidRDefault="00B36BA0" w:rsidP="008D45EE">
      <w:pPr>
        <w:pBdr>
          <w:left w:val="single" w:sz="2" w:space="1" w:color="000000" w:themeColor="text1"/>
        </w:pBdr>
      </w:pPr>
      <w:r>
        <w:t>— FGD with Women, Kwaya Kusar Ward</w:t>
      </w:r>
    </w:p>
    <w:p w14:paraId="36847C06" w14:textId="77777777" w:rsidR="00B36BA0" w:rsidRDefault="00B36BA0" w:rsidP="00B36BA0">
      <w:r>
        <w:t>In Biu, NGO staff noted that community access sometimes hinges on the approval of local government chairmen or traditional rulers:</w:t>
      </w:r>
    </w:p>
    <w:p w14:paraId="18746C24" w14:textId="77777777" w:rsidR="00B36BA0" w:rsidRPr="008D45EE" w:rsidRDefault="00B36BA0" w:rsidP="008D45EE">
      <w:pPr>
        <w:pBdr>
          <w:left w:val="single" w:sz="2" w:space="4" w:color="000000" w:themeColor="text1"/>
        </w:pBdr>
        <w:jc w:val="left"/>
        <w:rPr>
          <w:i/>
          <w:color w:val="4472C4" w:themeColor="accent1"/>
        </w:rPr>
      </w:pPr>
      <w:r w:rsidRPr="008D45EE">
        <w:rPr>
          <w:i/>
          <w:color w:val="4472C4" w:themeColor="accent1"/>
        </w:rPr>
        <w:t>“In most cases, we must wait for the Chairman’s approval before we can access communities. If he’s not available or disagrees, we cancel the visit.”</w:t>
      </w:r>
    </w:p>
    <w:p w14:paraId="456565B6" w14:textId="77777777" w:rsidR="00B36BA0" w:rsidRDefault="00B36BA0" w:rsidP="008D45EE">
      <w:pPr>
        <w:pBdr>
          <w:left w:val="single" w:sz="2" w:space="4" w:color="000000" w:themeColor="text1"/>
        </w:pBdr>
      </w:pPr>
      <w:r>
        <w:t>— KII with NGO Worker, Biu LGA</w:t>
      </w:r>
    </w:p>
    <w:p w14:paraId="000001E1" w14:textId="04F83674" w:rsidR="00D84B93" w:rsidRDefault="00B36BA0" w:rsidP="00B36BA0">
      <w:r>
        <w:t>These dynamics result in selective participation, where youth, women, and IDPs are excluded not by direct refusal, but by lack of invitation or information. The broader effect is a governance environment shaped more by informal loyalties than transparent, community-led processes</w:t>
      </w:r>
      <w:r w:rsidR="00AC6398">
        <w:t>.</w:t>
      </w:r>
    </w:p>
    <w:p w14:paraId="000001E2" w14:textId="77777777" w:rsidR="00D84B93" w:rsidRDefault="4C09043A">
      <w:pPr>
        <w:pStyle w:val="Heading3"/>
      </w:pPr>
      <w:bookmarkStart w:id="68" w:name="_Toc207390339"/>
      <w:r>
        <w:t>4.6.2 Elite Capture and Patterns of Exclusion</w:t>
      </w:r>
      <w:bookmarkEnd w:id="68"/>
    </w:p>
    <w:p w14:paraId="45D7AD82" w14:textId="2F55F5D8" w:rsidR="004C2C5A" w:rsidRDefault="004C2C5A" w:rsidP="004C2C5A">
      <w:r>
        <w:t>Beyond formal leadership disputes, the baseline reveal</w:t>
      </w:r>
      <w:r w:rsidR="00477742">
        <w:t>ed</w:t>
      </w:r>
      <w:r>
        <w:t xml:space="preserve"> a persistent pattern of elite capture across Biu, Guyuk, and Kwaya Kusar, where access to planning processes, aid, and NGO engagement is </w:t>
      </w:r>
      <w:r>
        <w:lastRenderedPageBreak/>
        <w:t>often mediated by a small group of influential individuals. This form of exclusion—described by respondents as “gatekeeping” or “selective inclusion”—undermines the credibility and inclusiveness of development efforts.</w:t>
      </w:r>
    </w:p>
    <w:p w14:paraId="67482AAA" w14:textId="77777777" w:rsidR="004C2C5A" w:rsidRDefault="004C2C5A" w:rsidP="004C2C5A">
      <w:r>
        <w:t>In Kwaya Kusar, political loyalties and kinship networks were frequently cited as determining who gets invited to participate or benefit:</w:t>
      </w:r>
    </w:p>
    <w:p w14:paraId="5F238833" w14:textId="77777777" w:rsidR="004C2C5A" w:rsidRPr="008D45EE" w:rsidRDefault="004C2C5A" w:rsidP="008D45EE">
      <w:pPr>
        <w:pBdr>
          <w:left w:val="single" w:sz="2" w:space="1" w:color="000000" w:themeColor="text1"/>
        </w:pBdr>
        <w:jc w:val="left"/>
        <w:rPr>
          <w:i/>
          <w:color w:val="4472C4" w:themeColor="accent1"/>
        </w:rPr>
      </w:pPr>
      <w:r w:rsidRPr="008D45EE">
        <w:rPr>
          <w:i/>
          <w:color w:val="4472C4" w:themeColor="accent1"/>
        </w:rPr>
        <w:t>“You can’t join anything unless you know someone. Some families get everything, while others are ignored, even if they are poor.”</w:t>
      </w:r>
    </w:p>
    <w:p w14:paraId="712CE6AA" w14:textId="77777777" w:rsidR="004C2C5A" w:rsidRDefault="004C2C5A" w:rsidP="008D45EE">
      <w:pPr>
        <w:pBdr>
          <w:left w:val="single" w:sz="2" w:space="1" w:color="000000" w:themeColor="text1"/>
        </w:pBdr>
      </w:pPr>
      <w:r>
        <w:t>— FGD with Women, Kwaya Kusar Ward</w:t>
      </w:r>
    </w:p>
    <w:p w14:paraId="47647A64" w14:textId="77777777" w:rsidR="004C2C5A" w:rsidRDefault="004C2C5A" w:rsidP="004C2C5A">
      <w:r>
        <w:t>In Bodeno Ward (Guyuk), long-serving community leaders were said to dominate decision-making, leaving little space for new voices:</w:t>
      </w:r>
    </w:p>
    <w:p w14:paraId="587C64B2" w14:textId="77777777" w:rsidR="004C2C5A" w:rsidRPr="008D45EE" w:rsidRDefault="004C2C5A" w:rsidP="008D45EE">
      <w:pPr>
        <w:pBdr>
          <w:left w:val="single" w:sz="2" w:space="1" w:color="000000" w:themeColor="text1"/>
        </w:pBdr>
        <w:jc w:val="left"/>
        <w:rPr>
          <w:i/>
          <w:color w:val="4472C4" w:themeColor="accent1"/>
        </w:rPr>
      </w:pPr>
      <w:r w:rsidRPr="008D45EE">
        <w:rPr>
          <w:i/>
          <w:color w:val="4472C4" w:themeColor="accent1"/>
        </w:rPr>
        <w:t>“The same group of people have been in governance and decision-making positions for a long time, leaving no room for new individuals to contribute their ideas.”</w:t>
      </w:r>
    </w:p>
    <w:p w14:paraId="372FEE23" w14:textId="77777777" w:rsidR="004C2C5A" w:rsidRDefault="004C2C5A" w:rsidP="008D45EE">
      <w:pPr>
        <w:pBdr>
          <w:left w:val="single" w:sz="2" w:space="1" w:color="000000" w:themeColor="text1"/>
        </w:pBdr>
      </w:pPr>
      <w:r>
        <w:t>— FGD with Community Member, Bodeno Ward</w:t>
      </w:r>
    </w:p>
    <w:p w14:paraId="6607B883" w14:textId="0FC53890" w:rsidR="004C2C5A" w:rsidRDefault="00DB5B97" w:rsidP="004C2C5A">
      <w:r w:rsidRPr="00DB5B97">
        <w:t>This control operates both vertically—where government and traditional authorities dominate decision-making—and horizontally, where influential families or local elites within communities monopolise information and planning spaces. These dynamics limit transparency, exclude ordinary members, and weaken social cohesion. In Guyuk, a farmer noted that even when invited, his contributions were routinely dismissed</w:t>
      </w:r>
      <w:r w:rsidR="004C2C5A">
        <w:t>:</w:t>
      </w:r>
    </w:p>
    <w:p w14:paraId="608C03B0" w14:textId="77777777" w:rsidR="004C2C5A" w:rsidRPr="008D45EE" w:rsidRDefault="004C2C5A" w:rsidP="008D45EE">
      <w:pPr>
        <w:pBdr>
          <w:left w:val="single" w:sz="2" w:space="1" w:color="000000" w:themeColor="text1"/>
        </w:pBdr>
        <w:jc w:val="left"/>
        <w:rPr>
          <w:i/>
          <w:color w:val="4472C4" w:themeColor="accent1"/>
        </w:rPr>
      </w:pPr>
      <w:r w:rsidRPr="008D45EE">
        <w:rPr>
          <w:i/>
          <w:color w:val="4472C4" w:themeColor="accent1"/>
        </w:rPr>
        <w:t>“When we had planning meetings before, the voices of ordinary farmers like me were rarely considered. I worry that even if I speak, my ideas won't be implemented.”</w:t>
      </w:r>
    </w:p>
    <w:p w14:paraId="767673EA" w14:textId="77777777" w:rsidR="004C2C5A" w:rsidRDefault="004C2C5A" w:rsidP="008D45EE">
      <w:pPr>
        <w:pBdr>
          <w:left w:val="single" w:sz="2" w:space="1" w:color="000000" w:themeColor="text1"/>
        </w:pBdr>
      </w:pPr>
      <w:r>
        <w:t>— FGD with Farmer, Guyuk LGA</w:t>
      </w:r>
    </w:p>
    <w:p w14:paraId="60D5E2EA" w14:textId="77777777" w:rsidR="004C2C5A" w:rsidRDefault="004C2C5A" w:rsidP="004C2C5A">
      <w:r>
        <w:t>Respondents also described how project information is sometimes monopolised, creating dependency on those with insider access:</w:t>
      </w:r>
    </w:p>
    <w:p w14:paraId="28BD4C1D" w14:textId="77777777" w:rsidR="004C2C5A" w:rsidRPr="008D45EE" w:rsidRDefault="004C2C5A" w:rsidP="008D45EE">
      <w:pPr>
        <w:pBdr>
          <w:left w:val="single" w:sz="2" w:space="1" w:color="000000" w:themeColor="text1"/>
        </w:pBdr>
        <w:jc w:val="left"/>
        <w:rPr>
          <w:i/>
          <w:color w:val="4472C4" w:themeColor="accent1"/>
        </w:rPr>
      </w:pPr>
      <w:r w:rsidRPr="008D45EE">
        <w:rPr>
          <w:i/>
          <w:color w:val="4472C4" w:themeColor="accent1"/>
        </w:rPr>
        <w:t>“Some NGOs come through our leaders and never talk to us directly. So, only the same households benefit repeatedly.”</w:t>
      </w:r>
    </w:p>
    <w:p w14:paraId="011DC490" w14:textId="77777777" w:rsidR="004C2C5A" w:rsidRDefault="004C2C5A" w:rsidP="008D45EE">
      <w:pPr>
        <w:pBdr>
          <w:left w:val="single" w:sz="2" w:space="1" w:color="000000" w:themeColor="text1"/>
        </w:pBdr>
      </w:pPr>
      <w:r>
        <w:t>— FGD with Youth, Lokoro Ward</w:t>
      </w:r>
    </w:p>
    <w:p w14:paraId="000001EC" w14:textId="63416997" w:rsidR="00D84B93" w:rsidRDefault="004C2C5A" w:rsidP="004C2C5A">
      <w:r>
        <w:t>The effects of elite capture are both social and operational: it erodes trust, fuels tension during targeting, and limits the sustainability of interventions. Addressing this requires not only inclusive planning structures but also transparent communication, rotational representation, and independent facilitation to ensure that development is community-owned and equitably distributed</w:t>
      </w:r>
      <w:r w:rsidR="00AC6398">
        <w:t>.</w:t>
      </w:r>
    </w:p>
    <w:p w14:paraId="000001ED" w14:textId="77777777" w:rsidR="00D84B93" w:rsidRDefault="00D84B93">
      <w:pPr>
        <w:rPr>
          <w:sz w:val="2"/>
          <w:szCs w:val="2"/>
        </w:rPr>
      </w:pPr>
    </w:p>
    <w:p w14:paraId="000001EE" w14:textId="77777777" w:rsidR="00D84B93" w:rsidRDefault="00AC6398">
      <w:pPr>
        <w:pStyle w:val="Heading3"/>
      </w:pPr>
      <w:bookmarkStart w:id="69" w:name="_Toc207390340"/>
      <w:r>
        <w:t>4.6.3 Community-Sourced Mitigation Strategies</w:t>
      </w:r>
      <w:bookmarkEnd w:id="69"/>
    </w:p>
    <w:p w14:paraId="000001EF" w14:textId="77777777" w:rsidR="00D84B93" w:rsidRDefault="00AC6398">
      <w:r>
        <w:t xml:space="preserve">Amid persistent challenges tied to political interference, elite capture, and exclusion, community members across Biu, Guyuk, and Kwaya Kusar offered a variety of practical strategies for reducing risks and ensuring broader participation in governance and project implementation. These </w:t>
      </w:r>
      <w:r>
        <w:lastRenderedPageBreak/>
        <w:t>strategies reflect both frustration with past experiences and a genuine desire for more inclusive, transparent, and community-driven processes.</w:t>
      </w:r>
    </w:p>
    <w:p w14:paraId="000001F0" w14:textId="6B8F0589" w:rsidR="00D84B93" w:rsidRDefault="00AC6398">
      <w:r>
        <w:t>A central recommendation was the establishment of regular and accessible townhall-style meetings. Respondents suggested these should occur at neutral venues and be attended by representatives from all social groups</w:t>
      </w:r>
      <w:r w:rsidR="003E2A3F">
        <w:t xml:space="preserve">, </w:t>
      </w:r>
      <w:r>
        <w:t>including women, youth, returnees, and persons with disabilities. In Kwaya Kusar and Guyuk in particular, participants proposed using ward-level forums facilitated by both traditional leaders and civil society actors to promote trust and dialogue.</w:t>
      </w:r>
    </w:p>
    <w:p w14:paraId="000001F1" w14:textId="77777777" w:rsidR="00D84B93" w:rsidRDefault="00AC6398">
      <w:pPr>
        <w:pBdr>
          <w:left w:val="single" w:sz="4" w:space="4" w:color="000000"/>
        </w:pBdr>
        <w:jc w:val="left"/>
      </w:pPr>
      <w:r w:rsidRPr="00E41530">
        <w:rPr>
          <w:i/>
          <w:color w:val="4472C4" w:themeColor="accent1"/>
        </w:rPr>
        <w:t>“If there is a standing platform where we all come together regularly, people will feel they can speak without fear. It must be a place where no one dominates.”</w:t>
      </w:r>
      <w:r>
        <w:br/>
        <w:t>— FGD with Youth, Guyuk Ward</w:t>
      </w:r>
    </w:p>
    <w:p w14:paraId="000001F2" w14:textId="77777777" w:rsidR="00D84B93" w:rsidRDefault="3B2EFD01">
      <w:r>
        <w:t>Transparency in information-sharing was also highlighted as a key enabler of inclusion. Respondents advocated for public notices on upcoming decisions, clear explanations of project criteria, and mechanisms for tracking who gets selected and why. Many communities expressed a need for visual aids or verbal announcements to reach residents with low literacy levels.</w:t>
      </w:r>
    </w:p>
    <w:p w14:paraId="000001F3" w14:textId="77777777" w:rsidR="00D84B93" w:rsidRDefault="00AC6398">
      <w:pPr>
        <w:pBdr>
          <w:left w:val="single" w:sz="4" w:space="4" w:color="000000"/>
        </w:pBdr>
        <w:jc w:val="left"/>
      </w:pPr>
      <w:r w:rsidRPr="00E41530">
        <w:rPr>
          <w:i/>
          <w:color w:val="4472C4" w:themeColor="accent1"/>
        </w:rPr>
        <w:t>“Information should be for everyone, not just the inner circle. That way, people can prepare and participate, even if they are not educated.”</w:t>
      </w:r>
      <w:r>
        <w:br/>
        <w:t>— FGD with Women, Kwaya Kusar Ward</w:t>
      </w:r>
    </w:p>
    <w:p w14:paraId="000001F4" w14:textId="4E7E6AC4" w:rsidR="00D84B93" w:rsidRDefault="00AC6398">
      <w:r>
        <w:t>To limit elite capture, community members recommended the use of rotational representation and quota systems in planning committees</w:t>
      </w:r>
      <w:r w:rsidR="003E2A3F">
        <w:t xml:space="preserve">, </w:t>
      </w:r>
      <w:r>
        <w:t>ensuring that different wards, gender groups, and youth have structured opportunities to participate. These ideas were frequently linked to feedback from CDP participants who felt that inclusive representation leads to better project ownership and follow-up.</w:t>
      </w:r>
    </w:p>
    <w:p w14:paraId="000001F5" w14:textId="77777777" w:rsidR="00D84B93" w:rsidRDefault="00AC6398">
      <w:r>
        <w:t>In the survey, 34% of respondents across LGAs suggested early engagement with all key stakeholders, while 31% highlighted the importance of including vulnerable and marginalised groups. A further 25% called for regular community consultations, reinforcing the value of structured, ongoing communication beyond initial project rollout.</w:t>
      </w:r>
    </w:p>
    <w:p w14:paraId="000001F6" w14:textId="77777777" w:rsidR="00D84B93" w:rsidRDefault="00AC6398">
      <w:r>
        <w:t>Additionally, community members emphasised conflict-sensitive facilitation, recommending that external actors be trained in local political and social dynamics to avoid reinforcing existing tensions. They also called for grievance redress mechanisms, such as confidential complaint boxes or third-party hotlines, to ensure that concerns could be raised safely.</w:t>
      </w:r>
    </w:p>
    <w:p w14:paraId="000001F7" w14:textId="77777777" w:rsidR="00D84B93" w:rsidRDefault="00AC6398">
      <w:pPr>
        <w:pBdr>
          <w:left w:val="single" w:sz="4" w:space="4" w:color="000000"/>
        </w:pBdr>
        <w:jc w:val="left"/>
      </w:pPr>
      <w:r w:rsidRPr="00871793">
        <w:rPr>
          <w:i/>
          <w:color w:val="4472C4" w:themeColor="accent1"/>
        </w:rPr>
        <w:t>“People need to know there is a way to speak up when something is wrong. If we can report issues without fear, that will improve trust.”</w:t>
      </w:r>
      <w:r>
        <w:br/>
        <w:t>— FGD with Men, Biu LGA</w:t>
      </w:r>
    </w:p>
    <w:p w14:paraId="000001F8" w14:textId="77777777" w:rsidR="00D84B93" w:rsidRDefault="00AC6398">
      <w:r>
        <w:t>Taken together, these community-sourced strategies highlight a strong appetite for more participatory and equitable development. While institutional constraints remain, these suggestions offer actionable insights into how inclusive planning and power-sharing can be strengthened at the local level</w:t>
      </w:r>
    </w:p>
    <w:p w14:paraId="000001F9" w14:textId="77777777" w:rsidR="00D84B93" w:rsidRDefault="00D84B93">
      <w:pPr>
        <w:rPr>
          <w:sz w:val="2"/>
          <w:szCs w:val="2"/>
        </w:rPr>
      </w:pPr>
    </w:p>
    <w:p w14:paraId="000001FA" w14:textId="77777777" w:rsidR="00D84B93" w:rsidRDefault="00AC6398">
      <w:pPr>
        <w:pStyle w:val="Heading2"/>
      </w:pPr>
      <w:bookmarkStart w:id="70" w:name="_Toc207390341"/>
      <w:r>
        <w:lastRenderedPageBreak/>
        <w:t>4.7 Risk and Stakeholder Analysis</w:t>
      </w:r>
      <w:bookmarkEnd w:id="70"/>
    </w:p>
    <w:p w14:paraId="021575EC" w14:textId="1173AEB0" w:rsidR="00AA3222" w:rsidRDefault="00AC6398" w:rsidP="00AA3222">
      <w:r>
        <w:t xml:space="preserve">The </w:t>
      </w:r>
      <w:r w:rsidR="00AA3222">
        <w:t>implementation of community development planning in Biu, Guyuk, and Kwaya Kusar occurs within distinct socio-political contexts shaped by traditional authority, political representation, and informal power networks. While stakeholder influence patterns are broadly similar across the LGAs—traditional leaders were identified by 28% of respondents as the most influential, followed by religious leaders (22%), youth groups (16%), women’s groups (13%), and local government officials (13%)—the nature and intensity of governance risks vary by location.</w:t>
      </w:r>
    </w:p>
    <w:p w14:paraId="6187A798" w14:textId="77777777" w:rsidR="00AA3222" w:rsidRDefault="00AA3222" w:rsidP="00AA3222">
      <w:r>
        <w:t>In Biu, insecurity was the most significant barrier to participation, with 46% of respondents identifying it as a key threat to coordination and engagement. While traditional leaders are generally respected and facilitate access, their dominance, combined with security concerns, limits broader inclusion, particularly for women and displaced populations.</w:t>
      </w:r>
    </w:p>
    <w:p w14:paraId="164E331C" w14:textId="77777777" w:rsidR="00AA3222" w:rsidRDefault="00AA3222" w:rsidP="00AA3222">
      <w:r>
        <w:t>In Guyuk, 25% of respondents cited internal political dynamics—especially tensions between elected officials and traditional leaders—as a barrier to smooth implementation. These overlapping mandates often create confusion over who represents the community, weakening coordination and trust in governance processes.</w:t>
      </w:r>
    </w:p>
    <w:p w14:paraId="3E652D33" w14:textId="77777777" w:rsidR="00AA3222" w:rsidRDefault="00AA3222" w:rsidP="00AA3222">
      <w:r>
        <w:t>In Kwaya Kusar, political interference and gatekeeping were the most frequently reported risks. A total of 37% of respondents flagged political interference as a major obstacle to inclusive governance, while 15% referenced gatekeeping by influential families or individuals. These dynamics restrict access to planning spaces and reinforce patterns of exclusion, particularly for youth and women.</w:t>
      </w:r>
    </w:p>
    <w:p w14:paraId="00000200" w14:textId="50CD88B5" w:rsidR="00D84B93" w:rsidRDefault="00AA3222">
      <w:r>
        <w:t>Across all three LGAs, traditional leaders and politically connected families remain central to community-level decision-making. While this can support legitimacy and coordination, it also risks entrenching exclusion unless balanced with transparent, inclusive mechanisms that elevate underrepresented voices</w:t>
      </w:r>
      <w:r w:rsidR="60256C05">
        <w:t>.</w:t>
      </w:r>
    </w:p>
    <w:p w14:paraId="00000201" w14:textId="77777777" w:rsidR="00D84B93" w:rsidRDefault="00AC6398">
      <w:pPr>
        <w:pBdr>
          <w:left w:val="single" w:sz="4" w:space="4" w:color="000000"/>
        </w:pBdr>
        <w:jc w:val="left"/>
      </w:pPr>
      <w:r w:rsidRPr="0054617D">
        <w:rPr>
          <w:i/>
          <w:color w:val="4472C4" w:themeColor="accent1"/>
        </w:rPr>
        <w:t>“Some leaders only invite people they know or those who support them. This makes others feel excluded, and then they refuse to participate.”</w:t>
      </w:r>
      <w:r>
        <w:br/>
        <w:t>— FGD with Women, Guyuk LGA</w:t>
      </w:r>
    </w:p>
    <w:p w14:paraId="00000202" w14:textId="77777777" w:rsidR="00D84B93" w:rsidRDefault="00AC6398">
      <w:r>
        <w:t>Security-related risks also featured prominently, especially in Biu, where 46% of respondents identified insecurity as a key threat to participation and coordination. Although these risks were not uniform across wards, they contribute to a fragile operating environment in which mistrust, exclusion, and sporadic resistance can stall well-intentioned programming.</w:t>
      </w:r>
      <w:r>
        <w:rPr>
          <w:noProof/>
        </w:rPr>
        <w:drawing>
          <wp:anchor distT="0" distB="0" distL="114300" distR="114300" simplePos="0" relativeHeight="251661824" behindDoc="0" locked="0" layoutInCell="1" hidden="0" allowOverlap="1" wp14:anchorId="718E7360" wp14:editId="75344DD7">
            <wp:simplePos x="0" y="0"/>
            <wp:positionH relativeFrom="column">
              <wp:posOffset>-12699</wp:posOffset>
            </wp:positionH>
            <wp:positionV relativeFrom="paragraph">
              <wp:posOffset>826135</wp:posOffset>
            </wp:positionV>
            <wp:extent cx="5734050" cy="1943100"/>
            <wp:effectExtent l="0" t="0" r="0" b="0"/>
            <wp:wrapSquare wrapText="bothSides" distT="0" distB="0" distL="114300" distR="114300"/>
            <wp:docPr id="2142450650" name="Chart 2142450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0000203" w14:textId="77777777" w:rsidR="00D84B93" w:rsidRDefault="00AC6398">
      <w:pPr>
        <w:pBdr>
          <w:top w:val="nil"/>
          <w:left w:val="nil"/>
          <w:bottom w:val="nil"/>
          <w:right w:val="nil"/>
          <w:between w:val="nil"/>
        </w:pBdr>
        <w:spacing w:after="200" w:line="240" w:lineRule="auto"/>
        <w:rPr>
          <w:i/>
          <w:color w:val="44546A"/>
          <w:sz w:val="22"/>
          <w:szCs w:val="22"/>
        </w:rPr>
      </w:pPr>
      <w:bookmarkStart w:id="71" w:name="_heading=h.5p9bq709lt7" w:colFirst="0" w:colLast="0"/>
      <w:bookmarkEnd w:id="71"/>
      <w:r>
        <w:rPr>
          <w:i/>
          <w:color w:val="44546A"/>
          <w:sz w:val="22"/>
          <w:szCs w:val="22"/>
        </w:rPr>
        <w:lastRenderedPageBreak/>
        <w:t>Figure 12 Socio-political challenges that could affect project implementation</w:t>
      </w:r>
    </w:p>
    <w:p w14:paraId="00000204" w14:textId="7802584C" w:rsidR="00D84B93" w:rsidRDefault="60256C05">
      <w:r>
        <w:t>Despite these challenges, communities offered targeted and locally grounded suggestions for mitigating socio-political risks. The most frequently cited was the need for early and transparent stakeholder engagement, noted by 34% of respondents. Respondents emphasised that including traditional leaders, religious leaders, women’s representatives, and youth leaders at the inception stage builds trust and discourages obstruction.</w:t>
      </w:r>
    </w:p>
    <w:p w14:paraId="00000205" w14:textId="77777777" w:rsidR="00D84B93" w:rsidRDefault="00AC6398">
      <w:pPr>
        <w:pBdr>
          <w:left w:val="single" w:sz="4" w:space="4" w:color="000000"/>
        </w:pBdr>
        <w:jc w:val="left"/>
      </w:pPr>
      <w:r w:rsidRPr="0054617D">
        <w:rPr>
          <w:i/>
          <w:color w:val="4472C4" w:themeColor="accent1"/>
        </w:rPr>
        <w:t>“When all the right people are involved from the beginning, no one feels left out. It reduces conflict and increases commitment.”</w:t>
      </w:r>
      <w:r>
        <w:br/>
        <w:t>— FGD with Men, Bobini Ward</w:t>
      </w:r>
    </w:p>
    <w:p w14:paraId="00000206" w14:textId="77777777" w:rsidR="00D84B93" w:rsidRDefault="00AC6398">
      <w:r>
        <w:t>Other community-proposed strategies included inclusive planning forums, the use of rotational or quota-based representation, and independent facilitation by NGOs or neutral third parties. These approaches were seen not just as safeguards, but as strategic enablers of local legitimacy and cohesion.</w:t>
      </w:r>
    </w:p>
    <w:p w14:paraId="00000207" w14:textId="64E4F0CA" w:rsidR="00D84B93" w:rsidRDefault="00AC6398">
      <w:r>
        <w:t>Ultimately, stakeholder engagement in this context must move beyond symbolic participation. Sustained, transparent, and balanced involvement of all relevant actors</w:t>
      </w:r>
      <w:r w:rsidR="003E2A3F">
        <w:t xml:space="preserve">, </w:t>
      </w:r>
      <w:r>
        <w:t>including those often excluded</w:t>
      </w:r>
      <w:r w:rsidR="003E2A3F">
        <w:t xml:space="preserve">, </w:t>
      </w:r>
      <w:r>
        <w:t>is essential for navigating the socio-political terrain and ensuring that development plans reflect the priorities of the broader community.</w:t>
      </w:r>
    </w:p>
    <w:p w14:paraId="4281BF53" w14:textId="65E77608" w:rsidR="00066FBB" w:rsidRDefault="00066FBB" w:rsidP="00CC0784">
      <w:pPr>
        <w:pStyle w:val="Heading2"/>
      </w:pPr>
      <w:bookmarkStart w:id="72" w:name="_Toc207390342"/>
      <w:r>
        <w:t xml:space="preserve">4.8 </w:t>
      </w:r>
      <w:r w:rsidRPr="00066FBB">
        <w:t>Validation Workshop Insights</w:t>
      </w:r>
      <w:bookmarkEnd w:id="72"/>
    </w:p>
    <w:p w14:paraId="2E93C1DF" w14:textId="3D97D9C0" w:rsidR="00066FBB" w:rsidRDefault="00066FBB" w:rsidP="00066FBB">
      <w:r>
        <w:t>Validation workshops were held to review and confirm baseline findings. These sessions provided an opportunity for community representatives, traditional and religious leaders, women, youth, and persons with disabilities to validate the data and share additional perspectives. The discussions reinforced many of the baseline findings while highlighting context-specific issues that require attention during Community Development Planning (CDP) implementation.</w:t>
      </w:r>
    </w:p>
    <w:p w14:paraId="7F4BDD19" w14:textId="376F1611" w:rsidR="00066FBB" w:rsidRDefault="00066FBB" w:rsidP="00CC0784">
      <w:pPr>
        <w:pStyle w:val="Heading3"/>
      </w:pPr>
      <w:bookmarkStart w:id="73" w:name="_Toc207390343"/>
      <w:r>
        <w:t>Biu LGA</w:t>
      </w:r>
      <w:bookmarkEnd w:id="73"/>
    </w:p>
    <w:p w14:paraId="1C6DFBD9" w14:textId="77777777" w:rsidR="00066FBB" w:rsidRDefault="00066FBB" w:rsidP="00066FBB">
      <w:r>
        <w:t>Participants in Biu identified erratic rainfall, recurrent drought, soil erosion, and land degradation as the most pressing climate-related challenges. Environmental concerns such as deforestation, poor waste management, and water scarcity were also emphasised as factors undermining livelihoods and health.</w:t>
      </w:r>
    </w:p>
    <w:p w14:paraId="7E282935" w14:textId="77777777" w:rsidR="00066FBB" w:rsidRDefault="00066FBB" w:rsidP="00066FBB">
      <w:r>
        <w:t>Social inclusion emerged as a critical gap. Persons with disabilities reported severe physical and infrastructural barriers, compounded by stigma and exclusion from community activities. Elderly participants highlighted economic vulnerability, neglect in governance systems, and poor access to healthcare, while women and girls cited gender-based violence, early marriage, and limited educational opportunities as persistent challenges. Youth participants pointed to unemployment, poverty, drug abuse, and political marginalisation, noting that these conditions increase vulnerability to exploitation.</w:t>
      </w:r>
    </w:p>
    <w:p w14:paraId="581F1A52" w14:textId="77777777" w:rsidR="00066FBB" w:rsidRDefault="00066FBB" w:rsidP="00066FBB">
      <w:r>
        <w:t xml:space="preserve">The root causes of exclusion were consistently linked to cultural and religious norms, weak governance, economic collapse, and low awareness of rights. Conflict drivers identified during the workshop included farmer–herder disputes, political differences, and competition over land and water resources, with specific mentions of </w:t>
      </w:r>
      <w:proofErr w:type="spellStart"/>
      <w:r>
        <w:t>Mandaragrau</w:t>
      </w:r>
      <w:proofErr w:type="spellEnd"/>
      <w:r>
        <w:t xml:space="preserve">, </w:t>
      </w:r>
      <w:proofErr w:type="spellStart"/>
      <w:r>
        <w:t>Buratai</w:t>
      </w:r>
      <w:proofErr w:type="spellEnd"/>
      <w:r>
        <w:t xml:space="preserve">, and Gur wards as areas of </w:t>
      </w:r>
      <w:r>
        <w:lastRenderedPageBreak/>
        <w:t>heightened tension. While traditional and religious leaders remain central to conflict resolution, participants stressed the need for justice mechanisms and livelihood alternatives to address underlying causes.</w:t>
      </w:r>
    </w:p>
    <w:p w14:paraId="3A723A88" w14:textId="77777777" w:rsidR="00066FBB" w:rsidRDefault="00066FBB" w:rsidP="00066FBB">
      <w:r>
        <w:t>Proposed solutions focused on cultural dialogue, vocational training, inclusive livelihood opportunities, and anti-stigma campaigns. Participants also recommended rotational leadership roles, transparent nomination processes, and inclusion audits to dismantle entrenched power imbalances.</w:t>
      </w:r>
    </w:p>
    <w:p w14:paraId="6410142F" w14:textId="4825B01D" w:rsidR="00066FBB" w:rsidRDefault="00066FBB" w:rsidP="00CC0784">
      <w:pPr>
        <w:pStyle w:val="Heading3"/>
      </w:pPr>
      <w:bookmarkStart w:id="74" w:name="_Toc207390344"/>
      <w:r>
        <w:t>Kwaya Kusar LGA</w:t>
      </w:r>
      <w:bookmarkEnd w:id="74"/>
    </w:p>
    <w:p w14:paraId="57E34A1B" w14:textId="77777777" w:rsidR="00066FBB" w:rsidRDefault="00066FBB" w:rsidP="00066FBB">
      <w:r>
        <w:t>In Kwaya Kusar, participants confirmed that erratic rainfall, flooding, drought, and pest infestations are the dominant climate challenges, while deforestation, erosion, and poor waste management were cited as major environmental concerns. These issues were linked to declining agricultural productivity and increased vulnerability to food insecurity.</w:t>
      </w:r>
    </w:p>
    <w:p w14:paraId="78D3AC29" w14:textId="77777777" w:rsidR="00066FBB" w:rsidRDefault="00066FBB" w:rsidP="00066FBB">
      <w:r>
        <w:t>Exclusionary practices were reported across multiple groups. Persons with disabilities face marginalisation, lack of educational access, and exclusion from decision-making, while elderly participants cited financial hardship, health challenges, and social isolation. Women and girls remain constrained by early marriage, unemployment, and cultural norms that limit participation, while youth identified unemployment, lack of capital, and drug abuse as critical barriers to empowerment.</w:t>
      </w:r>
    </w:p>
    <w:p w14:paraId="40D38C47" w14:textId="77777777" w:rsidR="00066FBB" w:rsidRDefault="00066FBB" w:rsidP="00066FBB">
      <w:r>
        <w:t>Participants attributed exclusion to cultural and religious norms, dominance of male elders, political gatekeeping, and poverty, noting that these factors perpetuate unequal access to resources and decision-making spaces. Conflict triggers include farmer–herder clashes, political tensions, and domestic violence, with traditional and religious leaders serving as primary mediators. However, respondents expressed concern over power struggles between political and traditional actors, which undermine trust and transparency.</w:t>
      </w:r>
    </w:p>
    <w:p w14:paraId="0EB95524" w14:textId="77777777" w:rsidR="00066FBB" w:rsidRDefault="00066FBB" w:rsidP="00066FBB"/>
    <w:p w14:paraId="2EE5BA30" w14:textId="7703F548" w:rsidR="00066FBB" w:rsidRDefault="00066FBB" w:rsidP="00066FBB">
      <w:r>
        <w:t>Proposed solutions centred on rotational leadership, enforcement of rule of law, anti-corruption measures, and improved communication channels. Communities also recommended awareness campaigns, safe spaces for women and youth, and structured accountability mechanisms to strengthen inclusion and rebuild trust.</w:t>
      </w:r>
    </w:p>
    <w:p w14:paraId="6FECFFAA" w14:textId="6940E958" w:rsidR="0099248D" w:rsidRDefault="0099248D" w:rsidP="0099248D">
      <w:pPr>
        <w:pStyle w:val="Heading3"/>
      </w:pPr>
      <w:bookmarkStart w:id="75" w:name="_Toc207390345"/>
      <w:r w:rsidRPr="0099248D">
        <w:t>Guyuk LGA</w:t>
      </w:r>
      <w:bookmarkEnd w:id="75"/>
    </w:p>
    <w:p w14:paraId="11B46F39" w14:textId="77777777" w:rsidR="0099248D" w:rsidRDefault="0099248D" w:rsidP="0099248D">
      <w:r>
        <w:t>Participants raised several concerns regarding the accuracy of specific data points presented in the baseline:</w:t>
      </w:r>
    </w:p>
    <w:p w14:paraId="096F094A" w14:textId="77777777" w:rsidR="0099248D" w:rsidRDefault="0099248D" w:rsidP="00CC0784">
      <w:pPr>
        <w:pStyle w:val="ListParagraph"/>
        <w:numPr>
          <w:ilvl w:val="0"/>
          <w:numId w:val="22"/>
        </w:numPr>
      </w:pPr>
      <w:r>
        <w:t>Education and Health Facilities: The reported figures of 23% of wards with primary schools (2 wards) and 12% with secondary schools (1 ward) were disputed. Stakeholders stated that all wards in Guyuk have primary schools and nine wards have secondary schools. Similarly, they disagreed with the finding that only 18% of wards (2 wards) have health facilities, asserting that all wards have at least one health facility.</w:t>
      </w:r>
    </w:p>
    <w:p w14:paraId="13B36C6A" w14:textId="77777777" w:rsidR="0099248D" w:rsidRDefault="0099248D" w:rsidP="00CC0784">
      <w:pPr>
        <w:pStyle w:val="ListParagraph"/>
        <w:numPr>
          <w:ilvl w:val="0"/>
          <w:numId w:val="22"/>
        </w:numPr>
      </w:pPr>
      <w:r>
        <w:lastRenderedPageBreak/>
        <w:t>Sample Size: The sample size of 207 respondents was considered too small to represent a population estimated at 285,000 (2002 projection). While the research team clarified the statistical basis for the sample, participants recommended further sensitisation on sampling methodology.</w:t>
      </w:r>
    </w:p>
    <w:p w14:paraId="38B57B09" w14:textId="77777777" w:rsidR="0099248D" w:rsidRDefault="0099248D" w:rsidP="00CC0784">
      <w:pPr>
        <w:pStyle w:val="ListParagraph"/>
        <w:numPr>
          <w:ilvl w:val="0"/>
          <w:numId w:val="22"/>
        </w:numPr>
      </w:pPr>
      <w:r>
        <w:t>Employment and Migration Data: The reported 5% government employment was initially challenged but later accepted after clarification. However, participants disagreed with the distribution of 55% host community and 37% returnees, arguing that returnees are fewer than reported.</w:t>
      </w:r>
    </w:p>
    <w:p w14:paraId="4EDF22F6" w14:textId="77777777" w:rsidR="0099248D" w:rsidRDefault="0099248D" w:rsidP="00CC0784">
      <w:pPr>
        <w:pStyle w:val="ListParagraph"/>
        <w:numPr>
          <w:ilvl w:val="0"/>
          <w:numId w:val="22"/>
        </w:numPr>
      </w:pPr>
      <w:r>
        <w:t>Unemployment Rate: The figure of 1% unemployment was strongly contested as unrealistic, with participants emphasising that unemployment is a major challenge.</w:t>
      </w:r>
    </w:p>
    <w:p w14:paraId="4D538547" w14:textId="638E9BF4" w:rsidR="0099248D" w:rsidRPr="0099248D" w:rsidRDefault="0099248D" w:rsidP="00CC0784">
      <w:pPr>
        <w:pStyle w:val="ListParagraph"/>
        <w:numPr>
          <w:ilvl w:val="0"/>
          <w:numId w:val="22"/>
        </w:numPr>
      </w:pPr>
      <w:r>
        <w:t xml:space="preserve">Cultural Cohesion Factors: Stakeholders recommended including </w:t>
      </w:r>
      <w:proofErr w:type="spellStart"/>
      <w:r>
        <w:t>Simlalama</w:t>
      </w:r>
      <w:proofErr w:type="spellEnd"/>
      <w:r>
        <w:t xml:space="preserve">, an annual traditional festival organised by the </w:t>
      </w:r>
      <w:proofErr w:type="spellStart"/>
      <w:r>
        <w:t>Kwandi</w:t>
      </w:r>
      <w:proofErr w:type="spellEnd"/>
      <w:r>
        <w:t xml:space="preserve"> </w:t>
      </w:r>
      <w:proofErr w:type="spellStart"/>
      <w:r>
        <w:t>Nunguraya</w:t>
      </w:r>
      <w:proofErr w:type="spellEnd"/>
      <w:r>
        <w:t xml:space="preserve"> (King of Lunguda Kingdom), as a key unifying event. They also highlighted daily football matches, ward-level wrestling championships, and the </w:t>
      </w:r>
      <w:proofErr w:type="spellStart"/>
      <w:r>
        <w:t>Woriworiwe</w:t>
      </w:r>
      <w:proofErr w:type="spellEnd"/>
      <w:r>
        <w:t xml:space="preserve"> dance festival as important social cohesion activities.</w:t>
      </w:r>
    </w:p>
    <w:p w14:paraId="00000208" w14:textId="77777777" w:rsidR="00D84B93" w:rsidRDefault="00D84B93">
      <w:pPr>
        <w:rPr>
          <w:sz w:val="2"/>
          <w:szCs w:val="2"/>
        </w:rPr>
      </w:pPr>
    </w:p>
    <w:p w14:paraId="00000209" w14:textId="0D0265EE" w:rsidR="00D84B93" w:rsidRDefault="64158C0F">
      <w:pPr>
        <w:pStyle w:val="Heading1"/>
      </w:pPr>
      <w:bookmarkStart w:id="76" w:name="_Toc207390346"/>
      <w:r>
        <w:t>5. BASELINE VALUES FOR LOGFRAME INDICATORS</w:t>
      </w:r>
      <w:bookmarkEnd w:id="76"/>
    </w:p>
    <w:p w14:paraId="4EFEDB35" w14:textId="77777777" w:rsidR="00822C1E" w:rsidRPr="00587424" w:rsidRDefault="00822C1E" w:rsidP="008D45EE">
      <w:pPr>
        <w:pStyle w:val="Heading2"/>
      </w:pPr>
      <w:bookmarkStart w:id="77" w:name="_Toc207390347"/>
      <w:r w:rsidRPr="00587424">
        <w:t>Participation and Inclusion Across LGAs</w:t>
      </w:r>
      <w:bookmarkEnd w:id="77"/>
    </w:p>
    <w:p w14:paraId="222C5261" w14:textId="77777777" w:rsidR="00822C1E" w:rsidRPr="00587424" w:rsidRDefault="00822C1E" w:rsidP="00822C1E">
      <w:pPr>
        <w:spacing w:line="259" w:lineRule="auto"/>
      </w:pPr>
      <w:r w:rsidRPr="00587424">
        <w:t>This section presents key quantitative baseline findings across three key dimensions: governance participation, inclusion of vulnerable groups, and monitoring mechanisms in Biu, Guyuk, and Kwaya Kusar LGAs. The data reveals important variations across demographic groups and geographic locations.</w:t>
      </w:r>
    </w:p>
    <w:p w14:paraId="196109B7" w14:textId="77777777" w:rsidR="00822C1E" w:rsidRDefault="00822C1E" w:rsidP="008D45EE">
      <w:pPr>
        <w:pStyle w:val="Heading3"/>
      </w:pPr>
      <w:bookmarkStart w:id="78" w:name="_Toc207390348"/>
      <w:r w:rsidRPr="00587424">
        <w:t>Stakeholder Participation in Governance (Indicator 1.1.1)</w:t>
      </w:r>
      <w:bookmarkEnd w:id="78"/>
    </w:p>
    <w:p w14:paraId="3ABE66FB" w14:textId="77777777" w:rsidR="00822C1E" w:rsidRPr="00587424" w:rsidRDefault="00822C1E" w:rsidP="00822C1E">
      <w:pPr>
        <w:spacing w:line="259" w:lineRule="auto"/>
      </w:pPr>
      <w:r w:rsidRPr="00587424">
        <w:t>A total of 86 stakeholders (20%) participated in local governance activities, with notable gender and geographic disparities. Male participation (50 stakeholders, 26%) significantly outpaced female participation (36 stakeholders, 15%). Geographically, Kwaya Kusar recorded the highest participation (27 stakeholders, 46%), followed by Biu (20 stakeholders, 12%), while Guyuk showed minimal engagement (4 stakeholders, 5%). Younger stakeholders (18-29 years) demonstrated relatively stronger participation (32 stakeholders, 24%) compared to older adults (11 stakeholders, 11%).</w:t>
      </w:r>
    </w:p>
    <w:p w14:paraId="3581792F" w14:textId="77777777" w:rsidR="00822C1E" w:rsidRDefault="00822C1E" w:rsidP="008D45EE">
      <w:pPr>
        <w:pStyle w:val="Heading3"/>
      </w:pPr>
      <w:bookmarkStart w:id="79" w:name="_Toc207390349"/>
      <w:r w:rsidRPr="00587424">
        <w:t>Inclusion of Vulnerable Groups (Indicators 1.1.2 and 1.1.3)</w:t>
      </w:r>
      <w:bookmarkEnd w:id="79"/>
    </w:p>
    <w:p w14:paraId="4312DD49" w14:textId="79F32180" w:rsidR="00822C1E" w:rsidRPr="00587424" w:rsidRDefault="00822C1E" w:rsidP="00822C1E">
      <w:pPr>
        <w:spacing w:line="259" w:lineRule="auto"/>
      </w:pPr>
      <w:r w:rsidRPr="00231643">
        <w:rPr>
          <w:highlight w:val="yellow"/>
        </w:rPr>
        <w:t>Fourteen priority</w:t>
      </w:r>
      <w:r w:rsidRPr="00587424">
        <w:t xml:space="preserve"> interventions (22%) addressing vulnerable groups' needs were incorporated into LGA plans. Biu LGA accounted for 6 interventions (30%), Kwaya Kusar for 4 interventions (40%), while Guyuk recorded </w:t>
      </w:r>
      <w:r w:rsidR="001306E5">
        <w:t>4</w:t>
      </w:r>
      <w:r w:rsidRPr="00587424">
        <w:t xml:space="preserve"> interventions (</w:t>
      </w:r>
      <w:r w:rsidR="001306E5">
        <w:t>11</w:t>
      </w:r>
      <w:r w:rsidRPr="00587424">
        <w:t>%). Regarding budget inclusion (Indicator 1.1.3), awareness remained low overall (4%), though Kwaya Kusar showed marginally better performance (7%) compared to other LGAs.</w:t>
      </w:r>
    </w:p>
    <w:p w14:paraId="45C011DC" w14:textId="77777777" w:rsidR="00822C1E" w:rsidRDefault="00822C1E" w:rsidP="008D45EE">
      <w:pPr>
        <w:pStyle w:val="Heading3"/>
      </w:pPr>
      <w:bookmarkStart w:id="80" w:name="_Toc207390350"/>
      <w:r w:rsidRPr="00587424">
        <w:t>Monitoring and Accountability (Indicators 2.1.1 and 2.1.2)</w:t>
      </w:r>
      <w:bookmarkEnd w:id="80"/>
    </w:p>
    <w:p w14:paraId="747A04AD" w14:textId="77777777" w:rsidR="00822C1E" w:rsidRPr="00587424" w:rsidRDefault="00822C1E" w:rsidP="00822C1E">
      <w:pPr>
        <w:spacing w:line="259" w:lineRule="auto"/>
      </w:pPr>
      <w:r w:rsidRPr="00587424">
        <w:t xml:space="preserve">Only 45 respondents (10%) confirmed the existence of monitoring frameworks in their LGAs. Biu reported 25 cases (15%), significantly higher than </w:t>
      </w:r>
      <w:proofErr w:type="spellStart"/>
      <w:r w:rsidRPr="00587424">
        <w:t>Guyuk's</w:t>
      </w:r>
      <w:proofErr w:type="spellEnd"/>
      <w:r w:rsidRPr="00587424">
        <w:t xml:space="preserve"> 4 cases (2%). Community Action </w:t>
      </w:r>
      <w:r w:rsidRPr="00587424">
        <w:lastRenderedPageBreak/>
        <w:t>Groups engaged 21 members (38%) in feedback mechanisms, with women comprising 18 participants (32%) compared to just 3 male participants (5%).</w:t>
      </w:r>
    </w:p>
    <w:p w14:paraId="0812664C" w14:textId="77777777" w:rsidR="00822C1E" w:rsidRDefault="00822C1E" w:rsidP="008D45EE">
      <w:pPr>
        <w:pStyle w:val="Heading3"/>
      </w:pPr>
      <w:bookmarkStart w:id="81" w:name="_Toc207390351"/>
      <w:r w:rsidRPr="00587424">
        <w:t>Key Implications</w:t>
      </w:r>
      <w:bookmarkEnd w:id="81"/>
    </w:p>
    <w:p w14:paraId="44EB386B" w14:textId="0094D4D8" w:rsidR="00822C1E" w:rsidRDefault="00822C1E" w:rsidP="00822C1E">
      <w:pPr>
        <w:sectPr w:rsidR="00822C1E" w:rsidSect="00822C1E">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278" w:gutter="0"/>
          <w:pgNumType w:start="0"/>
          <w:cols w:space="720"/>
          <w:titlePg/>
        </w:sectPr>
      </w:pPr>
      <w:r w:rsidRPr="00587424">
        <w:t xml:space="preserve">The baseline reveals three critical intervention areas: (1) addressing gender disparities in participation (86 total participants with only 36 female), (2) strengthening governance in lagging LGAs (particularly Guyuk with only 4 governance participants), and (3) enhancing monitoring systems (only 45 framework confirmations). The data suggests need for targeted approaches to improve inclusion, particularly for vulnerable groups (14 interventions currently included) and older adults (11 participants). Geographic disparities, especially </w:t>
      </w:r>
      <w:proofErr w:type="spellStart"/>
      <w:r w:rsidRPr="00587424">
        <w:t>Guyuk's</w:t>
      </w:r>
      <w:proofErr w:type="spellEnd"/>
      <w:r w:rsidRPr="00587424">
        <w:t xml:space="preserve"> consistently low performance across all indicators, require immediate attention</w:t>
      </w:r>
      <w:r>
        <w:tab/>
        <w:t>.</w:t>
      </w:r>
    </w:p>
    <w:p w14:paraId="0EE02D4D" w14:textId="77777777" w:rsidR="00822C1E" w:rsidRDefault="00822C1E" w:rsidP="00822C1E"/>
    <w:p w14:paraId="4936A0F0" w14:textId="77777777" w:rsidR="00822C1E" w:rsidRDefault="00822C1E" w:rsidP="008D45EE">
      <w:pPr>
        <w:pStyle w:val="Heading2"/>
      </w:pPr>
      <w:bookmarkStart w:id="82" w:name="_Toc207390352"/>
      <w:r>
        <w:t>5.1 Indicators</w:t>
      </w:r>
      <w:bookmarkEnd w:id="82"/>
      <w:r>
        <w:t xml:space="preserve"> </w:t>
      </w:r>
    </w:p>
    <w:p w14:paraId="4FC8F958" w14:textId="77777777" w:rsidR="00822C1E" w:rsidRDefault="00822C1E" w:rsidP="00822C1E">
      <w:pPr>
        <w:keepNext/>
        <w:pBdr>
          <w:top w:val="nil"/>
          <w:left w:val="nil"/>
          <w:bottom w:val="nil"/>
          <w:right w:val="nil"/>
          <w:between w:val="nil"/>
        </w:pBdr>
        <w:spacing w:after="200" w:line="240" w:lineRule="auto"/>
        <w:rPr>
          <w:i/>
          <w:color w:val="44546A"/>
          <w:sz w:val="22"/>
          <w:szCs w:val="22"/>
        </w:rPr>
      </w:pPr>
      <w:r>
        <w:rPr>
          <w:i/>
          <w:color w:val="44546A"/>
          <w:sz w:val="22"/>
          <w:szCs w:val="22"/>
        </w:rPr>
        <w:t>Table 1 Indicator Progress</w:t>
      </w:r>
    </w:p>
    <w:tbl>
      <w:tblPr>
        <w:tblW w:w="14401" w:type="dxa"/>
        <w:tblLook w:val="04A0" w:firstRow="1" w:lastRow="0" w:firstColumn="1" w:lastColumn="0" w:noHBand="0" w:noVBand="1"/>
      </w:tblPr>
      <w:tblGrid>
        <w:gridCol w:w="3964"/>
        <w:gridCol w:w="938"/>
        <w:gridCol w:w="1027"/>
        <w:gridCol w:w="1076"/>
        <w:gridCol w:w="1027"/>
        <w:gridCol w:w="1108"/>
        <w:gridCol w:w="1175"/>
        <w:gridCol w:w="1001"/>
        <w:gridCol w:w="1027"/>
        <w:gridCol w:w="1027"/>
        <w:gridCol w:w="1031"/>
      </w:tblGrid>
      <w:tr w:rsidR="00822C1E" w:rsidRPr="00A44C42" w14:paraId="64EA9312" w14:textId="77777777" w:rsidTr="008211E7">
        <w:trPr>
          <w:trHeight w:val="322"/>
        </w:trPr>
        <w:tc>
          <w:tcPr>
            <w:tcW w:w="3964" w:type="dxa"/>
            <w:vMerge w:val="restart"/>
            <w:tcBorders>
              <w:top w:val="single" w:sz="4" w:space="0" w:color="4EA72E"/>
              <w:left w:val="single" w:sz="4" w:space="0" w:color="4EA72E"/>
              <w:bottom w:val="single" w:sz="4" w:space="0" w:color="000000"/>
              <w:right w:val="nil"/>
            </w:tcBorders>
            <w:shd w:val="clear" w:color="4EA72E" w:fill="4EA72E"/>
            <w:noWrap/>
            <w:vAlign w:val="center"/>
            <w:hideMark/>
          </w:tcPr>
          <w:p w14:paraId="6C127CDB" w14:textId="77777777" w:rsidR="00822C1E" w:rsidRPr="00A44C42" w:rsidRDefault="00822C1E" w:rsidP="008211E7">
            <w:pPr>
              <w:spacing w:after="0" w:line="240" w:lineRule="auto"/>
              <w:jc w:val="center"/>
              <w:rPr>
                <w:rFonts w:eastAsia="Times New Roman" w:cs="Times New Roman"/>
                <w:b/>
                <w:bCs/>
                <w:color w:val="FFFFFF"/>
                <w:sz w:val="20"/>
                <w:szCs w:val="20"/>
              </w:rPr>
            </w:pPr>
            <w:r w:rsidRPr="00A44C42">
              <w:rPr>
                <w:rFonts w:eastAsia="Times New Roman" w:cs="Times New Roman"/>
                <w:b/>
                <w:bCs/>
                <w:color w:val="FFFFFF"/>
                <w:sz w:val="20"/>
                <w:szCs w:val="20"/>
              </w:rPr>
              <w:t>Indicator</w:t>
            </w:r>
          </w:p>
        </w:tc>
        <w:tc>
          <w:tcPr>
            <w:tcW w:w="938" w:type="dxa"/>
            <w:vMerge w:val="restart"/>
            <w:tcBorders>
              <w:top w:val="single" w:sz="4" w:space="0" w:color="4EA72E"/>
              <w:left w:val="nil"/>
              <w:bottom w:val="single" w:sz="8" w:space="0" w:color="000000"/>
              <w:right w:val="nil"/>
            </w:tcBorders>
            <w:shd w:val="clear" w:color="4EA72E" w:fill="4EA72E"/>
            <w:noWrap/>
            <w:vAlign w:val="center"/>
            <w:hideMark/>
          </w:tcPr>
          <w:p w14:paraId="1C4CE03C" w14:textId="77777777" w:rsidR="00822C1E" w:rsidRPr="00A44C42" w:rsidRDefault="00822C1E" w:rsidP="008211E7">
            <w:pPr>
              <w:spacing w:after="0" w:line="240" w:lineRule="auto"/>
              <w:jc w:val="center"/>
              <w:rPr>
                <w:rFonts w:eastAsia="Times New Roman" w:cs="Times New Roman"/>
                <w:b/>
                <w:bCs/>
                <w:color w:val="FFFFFF"/>
                <w:sz w:val="20"/>
                <w:szCs w:val="20"/>
              </w:rPr>
            </w:pPr>
            <w:r w:rsidRPr="00A44C42">
              <w:rPr>
                <w:rFonts w:eastAsia="Times New Roman" w:cs="Times New Roman"/>
                <w:b/>
                <w:bCs/>
                <w:color w:val="FFFFFF"/>
                <w:sz w:val="20"/>
                <w:szCs w:val="20"/>
              </w:rPr>
              <w:t>Baseline (%)</w:t>
            </w:r>
          </w:p>
        </w:tc>
        <w:tc>
          <w:tcPr>
            <w:tcW w:w="2103" w:type="dxa"/>
            <w:gridSpan w:val="2"/>
            <w:tcBorders>
              <w:top w:val="single" w:sz="8" w:space="0" w:color="auto"/>
              <w:left w:val="single" w:sz="12" w:space="0" w:color="FFFFFF"/>
              <w:bottom w:val="single" w:sz="8" w:space="0" w:color="auto"/>
              <w:right w:val="nil"/>
            </w:tcBorders>
            <w:shd w:val="clear" w:color="4EA72E" w:fill="4EA72E"/>
            <w:noWrap/>
            <w:vAlign w:val="center"/>
            <w:hideMark/>
          </w:tcPr>
          <w:p w14:paraId="4C432F3E" w14:textId="77777777" w:rsidR="00822C1E" w:rsidRPr="00A44C42" w:rsidRDefault="00822C1E" w:rsidP="008211E7">
            <w:pPr>
              <w:spacing w:after="0" w:line="240" w:lineRule="auto"/>
              <w:jc w:val="center"/>
              <w:rPr>
                <w:rFonts w:eastAsia="Times New Roman" w:cs="Times New Roman"/>
                <w:b/>
                <w:bCs/>
                <w:color w:val="FFFFFF"/>
                <w:sz w:val="20"/>
                <w:szCs w:val="20"/>
              </w:rPr>
            </w:pPr>
            <w:r w:rsidRPr="00A44C42">
              <w:rPr>
                <w:rFonts w:eastAsia="Times New Roman" w:cs="Times New Roman"/>
                <w:b/>
                <w:bCs/>
                <w:color w:val="FFFFFF"/>
                <w:sz w:val="20"/>
                <w:szCs w:val="20"/>
              </w:rPr>
              <w:t>Gender</w:t>
            </w:r>
          </w:p>
        </w:tc>
        <w:tc>
          <w:tcPr>
            <w:tcW w:w="3310" w:type="dxa"/>
            <w:gridSpan w:val="3"/>
            <w:tcBorders>
              <w:top w:val="single" w:sz="8" w:space="0" w:color="auto"/>
              <w:left w:val="single" w:sz="12" w:space="0" w:color="FFFFFF"/>
              <w:bottom w:val="single" w:sz="8" w:space="0" w:color="auto"/>
              <w:right w:val="nil"/>
            </w:tcBorders>
            <w:shd w:val="clear" w:color="4EA72E" w:fill="4EA72E"/>
            <w:noWrap/>
            <w:vAlign w:val="center"/>
            <w:hideMark/>
          </w:tcPr>
          <w:p w14:paraId="4878485F" w14:textId="77777777" w:rsidR="00822C1E" w:rsidRPr="00A44C42" w:rsidRDefault="00822C1E" w:rsidP="008211E7">
            <w:pPr>
              <w:spacing w:after="0" w:line="240" w:lineRule="auto"/>
              <w:jc w:val="center"/>
              <w:rPr>
                <w:rFonts w:eastAsia="Times New Roman" w:cs="Times New Roman"/>
                <w:b/>
                <w:bCs/>
                <w:color w:val="FFFFFF"/>
                <w:sz w:val="20"/>
                <w:szCs w:val="20"/>
              </w:rPr>
            </w:pPr>
            <w:r w:rsidRPr="00A44C42">
              <w:rPr>
                <w:rFonts w:eastAsia="Times New Roman" w:cs="Times New Roman"/>
                <w:b/>
                <w:bCs/>
                <w:color w:val="FFFFFF"/>
                <w:sz w:val="20"/>
                <w:szCs w:val="20"/>
              </w:rPr>
              <w:t>Location (LGA)</w:t>
            </w:r>
          </w:p>
        </w:tc>
        <w:tc>
          <w:tcPr>
            <w:tcW w:w="4086" w:type="dxa"/>
            <w:gridSpan w:val="4"/>
            <w:tcBorders>
              <w:top w:val="single" w:sz="8" w:space="0" w:color="auto"/>
              <w:left w:val="single" w:sz="12" w:space="0" w:color="FFFFFF"/>
              <w:bottom w:val="single" w:sz="8" w:space="0" w:color="auto"/>
              <w:right w:val="nil"/>
            </w:tcBorders>
            <w:shd w:val="clear" w:color="4EA72E" w:fill="4EA72E"/>
            <w:noWrap/>
            <w:vAlign w:val="center"/>
            <w:hideMark/>
          </w:tcPr>
          <w:p w14:paraId="497D3F1A" w14:textId="77777777" w:rsidR="00822C1E" w:rsidRPr="00A44C42" w:rsidRDefault="00822C1E" w:rsidP="008211E7">
            <w:pPr>
              <w:spacing w:after="0" w:line="240" w:lineRule="auto"/>
              <w:jc w:val="center"/>
              <w:rPr>
                <w:rFonts w:eastAsia="Times New Roman" w:cs="Times New Roman"/>
                <w:b/>
                <w:bCs/>
                <w:color w:val="FFFFFF"/>
                <w:sz w:val="20"/>
                <w:szCs w:val="20"/>
              </w:rPr>
            </w:pPr>
            <w:r w:rsidRPr="00A44C42">
              <w:rPr>
                <w:rFonts w:eastAsia="Times New Roman" w:cs="Times New Roman"/>
                <w:b/>
                <w:bCs/>
                <w:color w:val="FFFFFF"/>
                <w:sz w:val="20"/>
                <w:szCs w:val="20"/>
              </w:rPr>
              <w:t>Age Group</w:t>
            </w:r>
          </w:p>
        </w:tc>
      </w:tr>
      <w:tr w:rsidR="00822C1E" w:rsidRPr="00A44C42" w14:paraId="1B848C29" w14:textId="77777777" w:rsidTr="008211E7">
        <w:trPr>
          <w:trHeight w:val="621"/>
        </w:trPr>
        <w:tc>
          <w:tcPr>
            <w:tcW w:w="3964" w:type="dxa"/>
            <w:vMerge/>
            <w:tcBorders>
              <w:top w:val="single" w:sz="4" w:space="0" w:color="4EA72E"/>
              <w:left w:val="single" w:sz="4" w:space="0" w:color="4EA72E"/>
              <w:bottom w:val="single" w:sz="4" w:space="0" w:color="000000"/>
              <w:right w:val="nil"/>
            </w:tcBorders>
            <w:vAlign w:val="center"/>
            <w:hideMark/>
          </w:tcPr>
          <w:p w14:paraId="16191673" w14:textId="77777777" w:rsidR="00822C1E" w:rsidRPr="00A44C42" w:rsidRDefault="00822C1E" w:rsidP="008211E7">
            <w:pPr>
              <w:spacing w:after="0" w:line="240" w:lineRule="auto"/>
              <w:rPr>
                <w:rFonts w:eastAsia="Times New Roman" w:cs="Times New Roman"/>
                <w:b/>
                <w:bCs/>
                <w:color w:val="FFFFFF"/>
                <w:sz w:val="20"/>
                <w:szCs w:val="20"/>
              </w:rPr>
            </w:pPr>
          </w:p>
        </w:tc>
        <w:tc>
          <w:tcPr>
            <w:tcW w:w="938" w:type="dxa"/>
            <w:vMerge/>
            <w:tcBorders>
              <w:top w:val="single" w:sz="4" w:space="0" w:color="4EA72E"/>
              <w:left w:val="nil"/>
              <w:bottom w:val="single" w:sz="8" w:space="0" w:color="000000"/>
              <w:right w:val="nil"/>
            </w:tcBorders>
            <w:vAlign w:val="center"/>
            <w:hideMark/>
          </w:tcPr>
          <w:p w14:paraId="5B7EE562" w14:textId="77777777" w:rsidR="00822C1E" w:rsidRPr="00A44C42" w:rsidRDefault="00822C1E" w:rsidP="008211E7">
            <w:pPr>
              <w:spacing w:after="0" w:line="240" w:lineRule="auto"/>
              <w:rPr>
                <w:rFonts w:eastAsia="Times New Roman" w:cs="Times New Roman"/>
                <w:b/>
                <w:bCs/>
                <w:color w:val="FFFFFF"/>
                <w:sz w:val="20"/>
                <w:szCs w:val="20"/>
              </w:rPr>
            </w:pPr>
          </w:p>
        </w:tc>
        <w:tc>
          <w:tcPr>
            <w:tcW w:w="1027" w:type="dxa"/>
            <w:tcBorders>
              <w:top w:val="nil"/>
              <w:left w:val="single" w:sz="12" w:space="0" w:color="FFFFFF"/>
              <w:bottom w:val="single" w:sz="8" w:space="0" w:color="auto"/>
              <w:right w:val="single" w:sz="4" w:space="0" w:color="auto"/>
            </w:tcBorders>
            <w:vAlign w:val="center"/>
            <w:hideMark/>
          </w:tcPr>
          <w:p w14:paraId="2E32D5DE"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Female</w:t>
            </w:r>
          </w:p>
        </w:tc>
        <w:tc>
          <w:tcPr>
            <w:tcW w:w="1076" w:type="dxa"/>
            <w:tcBorders>
              <w:top w:val="nil"/>
              <w:left w:val="nil"/>
              <w:bottom w:val="single" w:sz="8" w:space="0" w:color="auto"/>
              <w:right w:val="single" w:sz="4" w:space="0" w:color="auto"/>
            </w:tcBorders>
            <w:vAlign w:val="center"/>
            <w:hideMark/>
          </w:tcPr>
          <w:p w14:paraId="6F436363"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Male</w:t>
            </w:r>
          </w:p>
        </w:tc>
        <w:tc>
          <w:tcPr>
            <w:tcW w:w="1027" w:type="dxa"/>
            <w:tcBorders>
              <w:top w:val="nil"/>
              <w:left w:val="nil"/>
              <w:bottom w:val="single" w:sz="8" w:space="0" w:color="auto"/>
              <w:right w:val="single" w:sz="4" w:space="0" w:color="auto"/>
            </w:tcBorders>
            <w:vAlign w:val="center"/>
            <w:hideMark/>
          </w:tcPr>
          <w:p w14:paraId="0748C095"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Biu</w:t>
            </w:r>
          </w:p>
        </w:tc>
        <w:tc>
          <w:tcPr>
            <w:tcW w:w="1108" w:type="dxa"/>
            <w:tcBorders>
              <w:top w:val="nil"/>
              <w:left w:val="nil"/>
              <w:bottom w:val="single" w:sz="8" w:space="0" w:color="auto"/>
              <w:right w:val="single" w:sz="4" w:space="0" w:color="auto"/>
            </w:tcBorders>
            <w:vAlign w:val="center"/>
            <w:hideMark/>
          </w:tcPr>
          <w:p w14:paraId="0D10D219"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Guyuk</w:t>
            </w:r>
          </w:p>
        </w:tc>
        <w:tc>
          <w:tcPr>
            <w:tcW w:w="1175" w:type="dxa"/>
            <w:tcBorders>
              <w:top w:val="nil"/>
              <w:left w:val="nil"/>
              <w:bottom w:val="single" w:sz="8" w:space="0" w:color="auto"/>
              <w:right w:val="single" w:sz="4" w:space="0" w:color="auto"/>
            </w:tcBorders>
            <w:vAlign w:val="center"/>
            <w:hideMark/>
          </w:tcPr>
          <w:p w14:paraId="5958C4E0"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Kwaya Kusar</w:t>
            </w:r>
          </w:p>
        </w:tc>
        <w:tc>
          <w:tcPr>
            <w:tcW w:w="1001" w:type="dxa"/>
            <w:tcBorders>
              <w:top w:val="nil"/>
              <w:left w:val="nil"/>
              <w:bottom w:val="single" w:sz="8" w:space="0" w:color="auto"/>
              <w:right w:val="single" w:sz="4" w:space="0" w:color="auto"/>
            </w:tcBorders>
            <w:vAlign w:val="center"/>
            <w:hideMark/>
          </w:tcPr>
          <w:p w14:paraId="3D859D44"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Youth (18-29)</w:t>
            </w:r>
          </w:p>
        </w:tc>
        <w:tc>
          <w:tcPr>
            <w:tcW w:w="1027" w:type="dxa"/>
            <w:tcBorders>
              <w:top w:val="nil"/>
              <w:left w:val="nil"/>
              <w:bottom w:val="single" w:sz="8" w:space="0" w:color="auto"/>
              <w:right w:val="single" w:sz="4" w:space="0" w:color="auto"/>
            </w:tcBorders>
            <w:vAlign w:val="center"/>
            <w:hideMark/>
          </w:tcPr>
          <w:p w14:paraId="49EF1604"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Young Adults (30-44)</w:t>
            </w:r>
          </w:p>
        </w:tc>
        <w:tc>
          <w:tcPr>
            <w:tcW w:w="1027" w:type="dxa"/>
            <w:tcBorders>
              <w:top w:val="nil"/>
              <w:left w:val="nil"/>
              <w:bottom w:val="single" w:sz="8" w:space="0" w:color="auto"/>
              <w:right w:val="single" w:sz="4" w:space="0" w:color="auto"/>
            </w:tcBorders>
            <w:vAlign w:val="center"/>
            <w:hideMark/>
          </w:tcPr>
          <w:p w14:paraId="742C68E6"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Middle-Aged (45-59)</w:t>
            </w:r>
          </w:p>
        </w:tc>
        <w:tc>
          <w:tcPr>
            <w:tcW w:w="1031" w:type="dxa"/>
            <w:tcBorders>
              <w:top w:val="nil"/>
              <w:left w:val="nil"/>
              <w:bottom w:val="single" w:sz="8" w:space="0" w:color="auto"/>
              <w:right w:val="single" w:sz="4" w:space="0" w:color="auto"/>
            </w:tcBorders>
            <w:vAlign w:val="center"/>
            <w:hideMark/>
          </w:tcPr>
          <w:p w14:paraId="66C12A67"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Older Adults (60+)</w:t>
            </w:r>
          </w:p>
        </w:tc>
      </w:tr>
      <w:tr w:rsidR="00822C1E" w:rsidRPr="00A44C42" w14:paraId="6FB90BBE" w14:textId="77777777" w:rsidTr="008211E7">
        <w:trPr>
          <w:trHeight w:val="939"/>
        </w:trPr>
        <w:tc>
          <w:tcPr>
            <w:tcW w:w="3964" w:type="dxa"/>
            <w:tcBorders>
              <w:top w:val="nil"/>
              <w:left w:val="single" w:sz="4" w:space="0" w:color="auto"/>
              <w:bottom w:val="single" w:sz="4" w:space="0" w:color="auto"/>
              <w:right w:val="single" w:sz="4" w:space="0" w:color="auto"/>
            </w:tcBorders>
            <w:vAlign w:val="center"/>
            <w:hideMark/>
          </w:tcPr>
          <w:p w14:paraId="4701B319"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 of stakeholders who participated in local governance activities and agree that their local government is better meeting needs through CDPs</w:t>
            </w:r>
          </w:p>
        </w:tc>
        <w:tc>
          <w:tcPr>
            <w:tcW w:w="938" w:type="dxa"/>
            <w:tcBorders>
              <w:top w:val="nil"/>
              <w:left w:val="nil"/>
              <w:bottom w:val="single" w:sz="4" w:space="0" w:color="auto"/>
              <w:right w:val="single" w:sz="4" w:space="0" w:color="auto"/>
            </w:tcBorders>
            <w:noWrap/>
            <w:vAlign w:val="center"/>
            <w:hideMark/>
          </w:tcPr>
          <w:p w14:paraId="2740946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10%</w:t>
            </w:r>
          </w:p>
        </w:tc>
        <w:tc>
          <w:tcPr>
            <w:tcW w:w="1027" w:type="dxa"/>
            <w:tcBorders>
              <w:top w:val="nil"/>
              <w:left w:val="nil"/>
              <w:bottom w:val="single" w:sz="4" w:space="0" w:color="auto"/>
              <w:right w:val="single" w:sz="4" w:space="0" w:color="auto"/>
            </w:tcBorders>
            <w:noWrap/>
            <w:vAlign w:val="center"/>
            <w:hideMark/>
          </w:tcPr>
          <w:p w14:paraId="7389465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8%</w:t>
            </w:r>
          </w:p>
        </w:tc>
        <w:tc>
          <w:tcPr>
            <w:tcW w:w="1076" w:type="dxa"/>
            <w:tcBorders>
              <w:top w:val="nil"/>
              <w:left w:val="nil"/>
              <w:bottom w:val="single" w:sz="4" w:space="0" w:color="auto"/>
              <w:right w:val="single" w:sz="4" w:space="0" w:color="auto"/>
            </w:tcBorders>
            <w:noWrap/>
            <w:vAlign w:val="center"/>
            <w:hideMark/>
          </w:tcPr>
          <w:p w14:paraId="745BA60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11%</w:t>
            </w:r>
          </w:p>
        </w:tc>
        <w:tc>
          <w:tcPr>
            <w:tcW w:w="1027" w:type="dxa"/>
            <w:tcBorders>
              <w:top w:val="nil"/>
              <w:left w:val="nil"/>
              <w:bottom w:val="single" w:sz="4" w:space="0" w:color="auto"/>
              <w:right w:val="single" w:sz="4" w:space="0" w:color="auto"/>
            </w:tcBorders>
            <w:noWrap/>
            <w:vAlign w:val="center"/>
            <w:hideMark/>
          </w:tcPr>
          <w:p w14:paraId="7AFC7C0E"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11%</w:t>
            </w:r>
          </w:p>
        </w:tc>
        <w:tc>
          <w:tcPr>
            <w:tcW w:w="1108" w:type="dxa"/>
            <w:tcBorders>
              <w:top w:val="nil"/>
              <w:left w:val="nil"/>
              <w:bottom w:val="single" w:sz="4" w:space="0" w:color="auto"/>
              <w:right w:val="single" w:sz="4" w:space="0" w:color="auto"/>
            </w:tcBorders>
            <w:noWrap/>
            <w:vAlign w:val="center"/>
            <w:hideMark/>
          </w:tcPr>
          <w:p w14:paraId="4330237D"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6%</w:t>
            </w:r>
          </w:p>
        </w:tc>
        <w:tc>
          <w:tcPr>
            <w:tcW w:w="1175" w:type="dxa"/>
            <w:tcBorders>
              <w:top w:val="nil"/>
              <w:left w:val="nil"/>
              <w:bottom w:val="single" w:sz="4" w:space="0" w:color="auto"/>
              <w:right w:val="single" w:sz="4" w:space="0" w:color="auto"/>
            </w:tcBorders>
            <w:noWrap/>
            <w:vAlign w:val="center"/>
            <w:hideMark/>
          </w:tcPr>
          <w:p w14:paraId="28CE5CB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12%</w:t>
            </w:r>
          </w:p>
        </w:tc>
        <w:tc>
          <w:tcPr>
            <w:tcW w:w="1001" w:type="dxa"/>
            <w:tcBorders>
              <w:top w:val="nil"/>
              <w:left w:val="nil"/>
              <w:bottom w:val="single" w:sz="4" w:space="0" w:color="auto"/>
              <w:right w:val="single" w:sz="4" w:space="0" w:color="auto"/>
            </w:tcBorders>
            <w:noWrap/>
            <w:vAlign w:val="center"/>
            <w:hideMark/>
          </w:tcPr>
          <w:p w14:paraId="0FC86879"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4%</w:t>
            </w:r>
          </w:p>
        </w:tc>
        <w:tc>
          <w:tcPr>
            <w:tcW w:w="1027" w:type="dxa"/>
            <w:tcBorders>
              <w:top w:val="nil"/>
              <w:left w:val="nil"/>
              <w:bottom w:val="single" w:sz="4" w:space="0" w:color="auto"/>
              <w:right w:val="single" w:sz="4" w:space="0" w:color="auto"/>
            </w:tcBorders>
            <w:noWrap/>
            <w:vAlign w:val="center"/>
            <w:hideMark/>
          </w:tcPr>
          <w:p w14:paraId="165CAB13"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10%</w:t>
            </w:r>
          </w:p>
        </w:tc>
        <w:tc>
          <w:tcPr>
            <w:tcW w:w="1027" w:type="dxa"/>
            <w:tcBorders>
              <w:top w:val="nil"/>
              <w:left w:val="nil"/>
              <w:bottom w:val="single" w:sz="4" w:space="0" w:color="auto"/>
              <w:right w:val="single" w:sz="4" w:space="0" w:color="auto"/>
            </w:tcBorders>
            <w:noWrap/>
            <w:vAlign w:val="center"/>
            <w:hideMark/>
          </w:tcPr>
          <w:p w14:paraId="7C1BA575"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12%</w:t>
            </w:r>
          </w:p>
        </w:tc>
        <w:tc>
          <w:tcPr>
            <w:tcW w:w="1031" w:type="dxa"/>
            <w:tcBorders>
              <w:top w:val="nil"/>
              <w:left w:val="nil"/>
              <w:bottom w:val="single" w:sz="4" w:space="0" w:color="auto"/>
              <w:right w:val="single" w:sz="4" w:space="0" w:color="auto"/>
            </w:tcBorders>
            <w:noWrap/>
            <w:vAlign w:val="center"/>
            <w:hideMark/>
          </w:tcPr>
          <w:p w14:paraId="4BA76420"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7%</w:t>
            </w:r>
          </w:p>
        </w:tc>
      </w:tr>
      <w:tr w:rsidR="00822C1E" w:rsidRPr="00A44C42" w14:paraId="4380088C" w14:textId="77777777" w:rsidTr="008211E7">
        <w:trPr>
          <w:trHeight w:val="939"/>
        </w:trPr>
        <w:tc>
          <w:tcPr>
            <w:tcW w:w="3964" w:type="dxa"/>
            <w:tcBorders>
              <w:top w:val="nil"/>
              <w:left w:val="single" w:sz="4" w:space="0" w:color="auto"/>
              <w:bottom w:val="single" w:sz="4" w:space="0" w:color="auto"/>
              <w:right w:val="single" w:sz="4" w:space="0" w:color="auto"/>
            </w:tcBorders>
            <w:vAlign w:val="center"/>
            <w:hideMark/>
          </w:tcPr>
          <w:p w14:paraId="29047C59"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 xml:space="preserve"> 1.1.1 Number of stakeholders/wards involved in consultation activities and actively participating in the CDP development process </w:t>
            </w:r>
          </w:p>
        </w:tc>
        <w:tc>
          <w:tcPr>
            <w:tcW w:w="938" w:type="dxa"/>
            <w:tcBorders>
              <w:top w:val="nil"/>
              <w:left w:val="nil"/>
              <w:bottom w:val="single" w:sz="4" w:space="0" w:color="auto"/>
              <w:right w:val="single" w:sz="4" w:space="0" w:color="auto"/>
            </w:tcBorders>
            <w:noWrap/>
            <w:vAlign w:val="center"/>
            <w:hideMark/>
          </w:tcPr>
          <w:p w14:paraId="2C2333C8"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86(20%) </w:t>
            </w:r>
          </w:p>
        </w:tc>
        <w:tc>
          <w:tcPr>
            <w:tcW w:w="1027" w:type="dxa"/>
            <w:tcBorders>
              <w:top w:val="nil"/>
              <w:left w:val="nil"/>
              <w:bottom w:val="single" w:sz="4" w:space="0" w:color="auto"/>
              <w:right w:val="single" w:sz="4" w:space="0" w:color="auto"/>
            </w:tcBorders>
            <w:noWrap/>
            <w:vAlign w:val="center"/>
            <w:hideMark/>
          </w:tcPr>
          <w:p w14:paraId="5D864424"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36(15%) </w:t>
            </w:r>
          </w:p>
        </w:tc>
        <w:tc>
          <w:tcPr>
            <w:tcW w:w="1076" w:type="dxa"/>
            <w:tcBorders>
              <w:top w:val="nil"/>
              <w:left w:val="nil"/>
              <w:bottom w:val="single" w:sz="4" w:space="0" w:color="auto"/>
              <w:right w:val="single" w:sz="4" w:space="0" w:color="auto"/>
            </w:tcBorders>
            <w:noWrap/>
            <w:vAlign w:val="center"/>
            <w:hideMark/>
          </w:tcPr>
          <w:p w14:paraId="02F0F3A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50(26%) </w:t>
            </w:r>
          </w:p>
        </w:tc>
        <w:tc>
          <w:tcPr>
            <w:tcW w:w="1027" w:type="dxa"/>
            <w:tcBorders>
              <w:top w:val="nil"/>
              <w:left w:val="nil"/>
              <w:bottom w:val="single" w:sz="4" w:space="0" w:color="auto"/>
              <w:right w:val="single" w:sz="4" w:space="0" w:color="auto"/>
            </w:tcBorders>
            <w:noWrap/>
            <w:vAlign w:val="center"/>
            <w:hideMark/>
          </w:tcPr>
          <w:p w14:paraId="70C0B1BF"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20(12%) </w:t>
            </w:r>
          </w:p>
        </w:tc>
        <w:tc>
          <w:tcPr>
            <w:tcW w:w="1108" w:type="dxa"/>
            <w:tcBorders>
              <w:top w:val="nil"/>
              <w:left w:val="nil"/>
              <w:bottom w:val="single" w:sz="4" w:space="0" w:color="auto"/>
              <w:right w:val="single" w:sz="4" w:space="0" w:color="auto"/>
            </w:tcBorders>
            <w:noWrap/>
            <w:vAlign w:val="center"/>
            <w:hideMark/>
          </w:tcPr>
          <w:p w14:paraId="2B6FE94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39(19%) </w:t>
            </w:r>
          </w:p>
        </w:tc>
        <w:tc>
          <w:tcPr>
            <w:tcW w:w="1175" w:type="dxa"/>
            <w:tcBorders>
              <w:top w:val="nil"/>
              <w:left w:val="nil"/>
              <w:bottom w:val="single" w:sz="4" w:space="0" w:color="auto"/>
              <w:right w:val="single" w:sz="4" w:space="0" w:color="auto"/>
            </w:tcBorders>
            <w:noWrap/>
            <w:vAlign w:val="center"/>
            <w:hideMark/>
          </w:tcPr>
          <w:p w14:paraId="7F55CB38"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27(46%) </w:t>
            </w:r>
          </w:p>
        </w:tc>
        <w:tc>
          <w:tcPr>
            <w:tcW w:w="1001" w:type="dxa"/>
            <w:tcBorders>
              <w:top w:val="nil"/>
              <w:left w:val="nil"/>
              <w:bottom w:val="single" w:sz="4" w:space="0" w:color="auto"/>
              <w:right w:val="single" w:sz="4" w:space="0" w:color="auto"/>
            </w:tcBorders>
            <w:noWrap/>
            <w:vAlign w:val="center"/>
            <w:hideMark/>
          </w:tcPr>
          <w:p w14:paraId="19620F8B"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4(5%) </w:t>
            </w:r>
          </w:p>
        </w:tc>
        <w:tc>
          <w:tcPr>
            <w:tcW w:w="1027" w:type="dxa"/>
            <w:tcBorders>
              <w:top w:val="nil"/>
              <w:left w:val="nil"/>
              <w:bottom w:val="single" w:sz="4" w:space="0" w:color="auto"/>
              <w:right w:val="single" w:sz="4" w:space="0" w:color="auto"/>
            </w:tcBorders>
            <w:noWrap/>
            <w:vAlign w:val="center"/>
            <w:hideMark/>
          </w:tcPr>
          <w:p w14:paraId="61FB060F"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39(20%) </w:t>
            </w:r>
          </w:p>
        </w:tc>
        <w:tc>
          <w:tcPr>
            <w:tcW w:w="1027" w:type="dxa"/>
            <w:tcBorders>
              <w:top w:val="nil"/>
              <w:left w:val="nil"/>
              <w:bottom w:val="single" w:sz="4" w:space="0" w:color="auto"/>
              <w:right w:val="single" w:sz="4" w:space="0" w:color="auto"/>
            </w:tcBorders>
            <w:noWrap/>
            <w:vAlign w:val="center"/>
            <w:hideMark/>
          </w:tcPr>
          <w:p w14:paraId="762460F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32(24%) </w:t>
            </w:r>
          </w:p>
        </w:tc>
        <w:tc>
          <w:tcPr>
            <w:tcW w:w="1031" w:type="dxa"/>
            <w:tcBorders>
              <w:top w:val="nil"/>
              <w:left w:val="nil"/>
              <w:bottom w:val="single" w:sz="4" w:space="0" w:color="auto"/>
              <w:right w:val="single" w:sz="4" w:space="0" w:color="auto"/>
            </w:tcBorders>
            <w:noWrap/>
            <w:vAlign w:val="center"/>
            <w:hideMark/>
          </w:tcPr>
          <w:p w14:paraId="6CA9A73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11(31%) </w:t>
            </w:r>
          </w:p>
        </w:tc>
      </w:tr>
      <w:tr w:rsidR="00822C1E" w:rsidRPr="00A44C42" w14:paraId="2AF3C71D" w14:textId="77777777" w:rsidTr="008211E7">
        <w:trPr>
          <w:trHeight w:val="1350"/>
        </w:trPr>
        <w:tc>
          <w:tcPr>
            <w:tcW w:w="3964" w:type="dxa"/>
            <w:tcBorders>
              <w:top w:val="nil"/>
              <w:left w:val="single" w:sz="4" w:space="0" w:color="auto"/>
              <w:bottom w:val="single" w:sz="4" w:space="0" w:color="auto"/>
              <w:right w:val="single" w:sz="4" w:space="0" w:color="auto"/>
            </w:tcBorders>
            <w:vAlign w:val="center"/>
            <w:hideMark/>
          </w:tcPr>
          <w:p w14:paraId="21D4C58B"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 xml:space="preserve"> 1.1.2 Number of priority interventions identified through the participatory process and included in the LGA plan that address the needs of the vulnerable groups </w:t>
            </w:r>
          </w:p>
        </w:tc>
        <w:tc>
          <w:tcPr>
            <w:tcW w:w="938" w:type="dxa"/>
            <w:tcBorders>
              <w:top w:val="nil"/>
              <w:left w:val="nil"/>
              <w:bottom w:val="single" w:sz="4" w:space="0" w:color="auto"/>
              <w:right w:val="single" w:sz="4" w:space="0" w:color="auto"/>
            </w:tcBorders>
            <w:noWrap/>
            <w:vAlign w:val="center"/>
            <w:hideMark/>
          </w:tcPr>
          <w:p w14:paraId="7AAB216F"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14(22%) </w:t>
            </w:r>
          </w:p>
        </w:tc>
        <w:tc>
          <w:tcPr>
            <w:tcW w:w="1027" w:type="dxa"/>
            <w:tcBorders>
              <w:top w:val="nil"/>
              <w:left w:val="nil"/>
              <w:bottom w:val="single" w:sz="4" w:space="0" w:color="auto"/>
              <w:right w:val="single" w:sz="4" w:space="0" w:color="auto"/>
            </w:tcBorders>
            <w:noWrap/>
            <w:vAlign w:val="center"/>
            <w:hideMark/>
          </w:tcPr>
          <w:p w14:paraId="122EAB85"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8(23%) </w:t>
            </w:r>
          </w:p>
        </w:tc>
        <w:tc>
          <w:tcPr>
            <w:tcW w:w="1076" w:type="dxa"/>
            <w:tcBorders>
              <w:top w:val="nil"/>
              <w:left w:val="nil"/>
              <w:bottom w:val="single" w:sz="4" w:space="0" w:color="auto"/>
              <w:right w:val="single" w:sz="4" w:space="0" w:color="auto"/>
            </w:tcBorders>
            <w:noWrap/>
            <w:vAlign w:val="center"/>
            <w:hideMark/>
          </w:tcPr>
          <w:p w14:paraId="2376BB1A"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6(20%) </w:t>
            </w:r>
          </w:p>
        </w:tc>
        <w:tc>
          <w:tcPr>
            <w:tcW w:w="1027" w:type="dxa"/>
            <w:tcBorders>
              <w:top w:val="nil"/>
              <w:left w:val="nil"/>
              <w:bottom w:val="single" w:sz="4" w:space="0" w:color="auto"/>
              <w:right w:val="single" w:sz="4" w:space="0" w:color="auto"/>
            </w:tcBorders>
            <w:noWrap/>
            <w:vAlign w:val="center"/>
            <w:hideMark/>
          </w:tcPr>
          <w:p w14:paraId="1CF48740"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6(30%) </w:t>
            </w:r>
          </w:p>
        </w:tc>
        <w:tc>
          <w:tcPr>
            <w:tcW w:w="1108" w:type="dxa"/>
            <w:tcBorders>
              <w:top w:val="nil"/>
              <w:left w:val="nil"/>
              <w:bottom w:val="single" w:sz="4" w:space="0" w:color="auto"/>
              <w:right w:val="single" w:sz="4" w:space="0" w:color="auto"/>
            </w:tcBorders>
            <w:noWrap/>
            <w:vAlign w:val="center"/>
            <w:hideMark/>
          </w:tcPr>
          <w:p w14:paraId="6BF55B9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4(11%) </w:t>
            </w:r>
          </w:p>
        </w:tc>
        <w:tc>
          <w:tcPr>
            <w:tcW w:w="1175" w:type="dxa"/>
            <w:tcBorders>
              <w:top w:val="nil"/>
              <w:left w:val="nil"/>
              <w:bottom w:val="single" w:sz="4" w:space="0" w:color="auto"/>
              <w:right w:val="single" w:sz="4" w:space="0" w:color="auto"/>
            </w:tcBorders>
            <w:noWrap/>
            <w:vAlign w:val="center"/>
            <w:hideMark/>
          </w:tcPr>
          <w:p w14:paraId="3EC6C828"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4(40%) </w:t>
            </w:r>
          </w:p>
        </w:tc>
        <w:tc>
          <w:tcPr>
            <w:tcW w:w="1001" w:type="dxa"/>
            <w:tcBorders>
              <w:top w:val="nil"/>
              <w:left w:val="nil"/>
              <w:bottom w:val="single" w:sz="4" w:space="0" w:color="auto"/>
              <w:right w:val="single" w:sz="4" w:space="0" w:color="auto"/>
            </w:tcBorders>
            <w:noWrap/>
            <w:vAlign w:val="center"/>
            <w:hideMark/>
          </w:tcPr>
          <w:p w14:paraId="6AF9716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3(33%) </w:t>
            </w:r>
          </w:p>
        </w:tc>
        <w:tc>
          <w:tcPr>
            <w:tcW w:w="1027" w:type="dxa"/>
            <w:tcBorders>
              <w:top w:val="nil"/>
              <w:left w:val="nil"/>
              <w:bottom w:val="single" w:sz="4" w:space="0" w:color="auto"/>
              <w:right w:val="single" w:sz="4" w:space="0" w:color="auto"/>
            </w:tcBorders>
            <w:noWrap/>
            <w:vAlign w:val="center"/>
            <w:hideMark/>
          </w:tcPr>
          <w:p w14:paraId="7E7FA80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6(19%) </w:t>
            </w:r>
          </w:p>
        </w:tc>
        <w:tc>
          <w:tcPr>
            <w:tcW w:w="1027" w:type="dxa"/>
            <w:tcBorders>
              <w:top w:val="nil"/>
              <w:left w:val="nil"/>
              <w:bottom w:val="single" w:sz="4" w:space="0" w:color="auto"/>
              <w:right w:val="single" w:sz="4" w:space="0" w:color="auto"/>
            </w:tcBorders>
            <w:noWrap/>
            <w:vAlign w:val="center"/>
            <w:hideMark/>
          </w:tcPr>
          <w:p w14:paraId="025EC07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5(28%) </w:t>
            </w:r>
          </w:p>
        </w:tc>
        <w:tc>
          <w:tcPr>
            <w:tcW w:w="1031" w:type="dxa"/>
            <w:tcBorders>
              <w:top w:val="nil"/>
              <w:left w:val="nil"/>
              <w:bottom w:val="single" w:sz="4" w:space="0" w:color="auto"/>
              <w:right w:val="single" w:sz="4" w:space="0" w:color="auto"/>
            </w:tcBorders>
            <w:noWrap/>
            <w:vAlign w:val="center"/>
            <w:hideMark/>
          </w:tcPr>
          <w:p w14:paraId="080B0CB9"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0(0%) </w:t>
            </w:r>
          </w:p>
        </w:tc>
      </w:tr>
      <w:tr w:rsidR="00822C1E" w:rsidRPr="00A44C42" w14:paraId="50A89477" w14:textId="77777777" w:rsidTr="008211E7">
        <w:trPr>
          <w:trHeight w:val="939"/>
        </w:trPr>
        <w:tc>
          <w:tcPr>
            <w:tcW w:w="3964" w:type="dxa"/>
            <w:tcBorders>
              <w:top w:val="nil"/>
              <w:left w:val="single" w:sz="4" w:space="0" w:color="auto"/>
              <w:bottom w:val="single" w:sz="4" w:space="0" w:color="auto"/>
              <w:right w:val="single" w:sz="4" w:space="0" w:color="auto"/>
            </w:tcBorders>
            <w:vAlign w:val="center"/>
            <w:hideMark/>
          </w:tcPr>
          <w:p w14:paraId="652A6CF4"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1.1.3 Percentage of priority interventions from the CDPs/WDPs/LGA plan included in the LGA/state budget that address the needs of the women and vulnerable groups</w:t>
            </w:r>
          </w:p>
        </w:tc>
        <w:tc>
          <w:tcPr>
            <w:tcW w:w="938" w:type="dxa"/>
            <w:tcBorders>
              <w:top w:val="nil"/>
              <w:left w:val="nil"/>
              <w:bottom w:val="single" w:sz="4" w:space="0" w:color="auto"/>
              <w:right w:val="single" w:sz="4" w:space="0" w:color="auto"/>
            </w:tcBorders>
            <w:noWrap/>
            <w:vAlign w:val="center"/>
            <w:hideMark/>
          </w:tcPr>
          <w:p w14:paraId="27A2BDE6"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4%</w:t>
            </w:r>
          </w:p>
        </w:tc>
        <w:tc>
          <w:tcPr>
            <w:tcW w:w="1027" w:type="dxa"/>
            <w:tcBorders>
              <w:top w:val="nil"/>
              <w:left w:val="nil"/>
              <w:bottom w:val="single" w:sz="4" w:space="0" w:color="auto"/>
              <w:right w:val="single" w:sz="4" w:space="0" w:color="auto"/>
            </w:tcBorders>
            <w:noWrap/>
            <w:vAlign w:val="center"/>
            <w:hideMark/>
          </w:tcPr>
          <w:p w14:paraId="295BD5E8"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3%</w:t>
            </w:r>
          </w:p>
        </w:tc>
        <w:tc>
          <w:tcPr>
            <w:tcW w:w="1076" w:type="dxa"/>
            <w:tcBorders>
              <w:top w:val="nil"/>
              <w:left w:val="nil"/>
              <w:bottom w:val="single" w:sz="4" w:space="0" w:color="auto"/>
              <w:right w:val="single" w:sz="4" w:space="0" w:color="auto"/>
            </w:tcBorders>
            <w:noWrap/>
            <w:vAlign w:val="center"/>
            <w:hideMark/>
          </w:tcPr>
          <w:p w14:paraId="4329E558"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6%</w:t>
            </w:r>
          </w:p>
        </w:tc>
        <w:tc>
          <w:tcPr>
            <w:tcW w:w="1027" w:type="dxa"/>
            <w:tcBorders>
              <w:top w:val="nil"/>
              <w:left w:val="nil"/>
              <w:bottom w:val="single" w:sz="4" w:space="0" w:color="auto"/>
              <w:right w:val="single" w:sz="4" w:space="0" w:color="auto"/>
            </w:tcBorders>
            <w:noWrap/>
            <w:vAlign w:val="center"/>
            <w:hideMark/>
          </w:tcPr>
          <w:p w14:paraId="3950466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6%</w:t>
            </w:r>
          </w:p>
        </w:tc>
        <w:tc>
          <w:tcPr>
            <w:tcW w:w="1108" w:type="dxa"/>
            <w:tcBorders>
              <w:top w:val="nil"/>
              <w:left w:val="nil"/>
              <w:bottom w:val="single" w:sz="4" w:space="0" w:color="auto"/>
              <w:right w:val="single" w:sz="4" w:space="0" w:color="auto"/>
            </w:tcBorders>
            <w:noWrap/>
            <w:vAlign w:val="center"/>
            <w:hideMark/>
          </w:tcPr>
          <w:p w14:paraId="57AA74D3"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2%</w:t>
            </w:r>
          </w:p>
        </w:tc>
        <w:tc>
          <w:tcPr>
            <w:tcW w:w="1175" w:type="dxa"/>
            <w:tcBorders>
              <w:top w:val="nil"/>
              <w:left w:val="nil"/>
              <w:bottom w:val="single" w:sz="4" w:space="0" w:color="auto"/>
              <w:right w:val="single" w:sz="4" w:space="0" w:color="auto"/>
            </w:tcBorders>
            <w:noWrap/>
            <w:vAlign w:val="center"/>
            <w:hideMark/>
          </w:tcPr>
          <w:p w14:paraId="4150A974"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7%</w:t>
            </w:r>
          </w:p>
        </w:tc>
        <w:tc>
          <w:tcPr>
            <w:tcW w:w="1001" w:type="dxa"/>
            <w:tcBorders>
              <w:top w:val="nil"/>
              <w:left w:val="nil"/>
              <w:bottom w:val="single" w:sz="4" w:space="0" w:color="auto"/>
              <w:right w:val="single" w:sz="4" w:space="0" w:color="auto"/>
            </w:tcBorders>
            <w:noWrap/>
            <w:vAlign w:val="center"/>
            <w:hideMark/>
          </w:tcPr>
          <w:p w14:paraId="4E81A91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5%</w:t>
            </w:r>
          </w:p>
        </w:tc>
        <w:tc>
          <w:tcPr>
            <w:tcW w:w="1027" w:type="dxa"/>
            <w:tcBorders>
              <w:top w:val="nil"/>
              <w:left w:val="nil"/>
              <w:bottom w:val="single" w:sz="4" w:space="0" w:color="auto"/>
              <w:right w:val="single" w:sz="4" w:space="0" w:color="auto"/>
            </w:tcBorders>
            <w:noWrap/>
            <w:vAlign w:val="center"/>
            <w:hideMark/>
          </w:tcPr>
          <w:p w14:paraId="5F4000E3"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5%</w:t>
            </w:r>
          </w:p>
        </w:tc>
        <w:tc>
          <w:tcPr>
            <w:tcW w:w="1027" w:type="dxa"/>
            <w:tcBorders>
              <w:top w:val="nil"/>
              <w:left w:val="nil"/>
              <w:bottom w:val="single" w:sz="4" w:space="0" w:color="auto"/>
              <w:right w:val="single" w:sz="4" w:space="0" w:color="auto"/>
            </w:tcBorders>
            <w:noWrap/>
            <w:vAlign w:val="center"/>
            <w:hideMark/>
          </w:tcPr>
          <w:p w14:paraId="356EED24"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2%</w:t>
            </w:r>
          </w:p>
        </w:tc>
        <w:tc>
          <w:tcPr>
            <w:tcW w:w="1031" w:type="dxa"/>
            <w:tcBorders>
              <w:top w:val="nil"/>
              <w:left w:val="nil"/>
              <w:bottom w:val="single" w:sz="4" w:space="0" w:color="auto"/>
              <w:right w:val="single" w:sz="4" w:space="0" w:color="auto"/>
            </w:tcBorders>
            <w:noWrap/>
            <w:vAlign w:val="center"/>
            <w:hideMark/>
          </w:tcPr>
          <w:p w14:paraId="7B8C4E66"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6%</w:t>
            </w:r>
          </w:p>
        </w:tc>
      </w:tr>
      <w:tr w:rsidR="00822C1E" w:rsidRPr="00A44C42" w14:paraId="50DDD9D9" w14:textId="77777777" w:rsidTr="008211E7">
        <w:trPr>
          <w:trHeight w:val="939"/>
        </w:trPr>
        <w:tc>
          <w:tcPr>
            <w:tcW w:w="3964" w:type="dxa"/>
            <w:tcBorders>
              <w:top w:val="nil"/>
              <w:left w:val="single" w:sz="4" w:space="0" w:color="auto"/>
              <w:bottom w:val="single" w:sz="4" w:space="0" w:color="auto"/>
              <w:right w:val="single" w:sz="4" w:space="0" w:color="auto"/>
            </w:tcBorders>
            <w:vAlign w:val="center"/>
            <w:hideMark/>
          </w:tcPr>
          <w:p w14:paraId="6E548B58"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2.1.1 Availability of a monitoring framework to track progress made of priority interventions agreed on in the LGA plan</w:t>
            </w:r>
          </w:p>
        </w:tc>
        <w:tc>
          <w:tcPr>
            <w:tcW w:w="938" w:type="dxa"/>
            <w:tcBorders>
              <w:top w:val="nil"/>
              <w:left w:val="nil"/>
              <w:bottom w:val="single" w:sz="4" w:space="0" w:color="auto"/>
              <w:right w:val="single" w:sz="4" w:space="0" w:color="auto"/>
            </w:tcBorders>
            <w:noWrap/>
            <w:vAlign w:val="center"/>
            <w:hideMark/>
          </w:tcPr>
          <w:p w14:paraId="3C72A14F"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45(10%) </w:t>
            </w:r>
          </w:p>
        </w:tc>
        <w:tc>
          <w:tcPr>
            <w:tcW w:w="1027" w:type="dxa"/>
            <w:tcBorders>
              <w:top w:val="nil"/>
              <w:left w:val="nil"/>
              <w:bottom w:val="single" w:sz="4" w:space="0" w:color="auto"/>
              <w:right w:val="single" w:sz="4" w:space="0" w:color="auto"/>
            </w:tcBorders>
            <w:noWrap/>
            <w:vAlign w:val="center"/>
            <w:hideMark/>
          </w:tcPr>
          <w:p w14:paraId="14A334B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17(7%) </w:t>
            </w:r>
          </w:p>
        </w:tc>
        <w:tc>
          <w:tcPr>
            <w:tcW w:w="1076" w:type="dxa"/>
            <w:tcBorders>
              <w:top w:val="nil"/>
              <w:left w:val="nil"/>
              <w:bottom w:val="single" w:sz="4" w:space="0" w:color="auto"/>
              <w:right w:val="single" w:sz="4" w:space="0" w:color="auto"/>
            </w:tcBorders>
            <w:noWrap/>
            <w:vAlign w:val="center"/>
            <w:hideMark/>
          </w:tcPr>
          <w:p w14:paraId="542ACC63"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28(14%) </w:t>
            </w:r>
          </w:p>
        </w:tc>
        <w:tc>
          <w:tcPr>
            <w:tcW w:w="1027" w:type="dxa"/>
            <w:tcBorders>
              <w:top w:val="nil"/>
              <w:left w:val="nil"/>
              <w:bottom w:val="single" w:sz="4" w:space="0" w:color="auto"/>
              <w:right w:val="single" w:sz="4" w:space="0" w:color="auto"/>
            </w:tcBorders>
            <w:noWrap/>
            <w:vAlign w:val="center"/>
            <w:hideMark/>
          </w:tcPr>
          <w:p w14:paraId="08EFE5BC"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25(15%) </w:t>
            </w:r>
          </w:p>
        </w:tc>
        <w:tc>
          <w:tcPr>
            <w:tcW w:w="1108" w:type="dxa"/>
            <w:tcBorders>
              <w:top w:val="nil"/>
              <w:left w:val="nil"/>
              <w:bottom w:val="single" w:sz="4" w:space="0" w:color="auto"/>
              <w:right w:val="single" w:sz="4" w:space="0" w:color="auto"/>
            </w:tcBorders>
            <w:noWrap/>
            <w:vAlign w:val="center"/>
            <w:hideMark/>
          </w:tcPr>
          <w:p w14:paraId="764D02C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4(2%) </w:t>
            </w:r>
          </w:p>
        </w:tc>
        <w:tc>
          <w:tcPr>
            <w:tcW w:w="1175" w:type="dxa"/>
            <w:tcBorders>
              <w:top w:val="nil"/>
              <w:left w:val="nil"/>
              <w:bottom w:val="single" w:sz="4" w:space="0" w:color="auto"/>
              <w:right w:val="single" w:sz="4" w:space="0" w:color="auto"/>
            </w:tcBorders>
            <w:noWrap/>
            <w:vAlign w:val="center"/>
            <w:hideMark/>
          </w:tcPr>
          <w:p w14:paraId="036FC5CA"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16(27%) </w:t>
            </w:r>
          </w:p>
        </w:tc>
        <w:tc>
          <w:tcPr>
            <w:tcW w:w="1001" w:type="dxa"/>
            <w:tcBorders>
              <w:top w:val="nil"/>
              <w:left w:val="nil"/>
              <w:bottom w:val="single" w:sz="4" w:space="0" w:color="auto"/>
              <w:right w:val="single" w:sz="4" w:space="0" w:color="auto"/>
            </w:tcBorders>
            <w:noWrap/>
            <w:vAlign w:val="center"/>
            <w:hideMark/>
          </w:tcPr>
          <w:p w14:paraId="72038CDA"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8(11%) </w:t>
            </w:r>
          </w:p>
        </w:tc>
        <w:tc>
          <w:tcPr>
            <w:tcW w:w="1027" w:type="dxa"/>
            <w:tcBorders>
              <w:top w:val="nil"/>
              <w:left w:val="nil"/>
              <w:bottom w:val="single" w:sz="4" w:space="0" w:color="auto"/>
              <w:right w:val="single" w:sz="4" w:space="0" w:color="auto"/>
            </w:tcBorders>
            <w:noWrap/>
            <w:vAlign w:val="center"/>
            <w:hideMark/>
          </w:tcPr>
          <w:p w14:paraId="0D3F896D"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18(9%) </w:t>
            </w:r>
          </w:p>
        </w:tc>
        <w:tc>
          <w:tcPr>
            <w:tcW w:w="1027" w:type="dxa"/>
            <w:tcBorders>
              <w:top w:val="nil"/>
              <w:left w:val="nil"/>
              <w:bottom w:val="single" w:sz="4" w:space="0" w:color="auto"/>
              <w:right w:val="single" w:sz="4" w:space="0" w:color="auto"/>
            </w:tcBorders>
            <w:noWrap/>
            <w:vAlign w:val="center"/>
            <w:hideMark/>
          </w:tcPr>
          <w:p w14:paraId="5987C262"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15(11%) </w:t>
            </w:r>
          </w:p>
        </w:tc>
        <w:tc>
          <w:tcPr>
            <w:tcW w:w="1031" w:type="dxa"/>
            <w:tcBorders>
              <w:top w:val="nil"/>
              <w:left w:val="nil"/>
              <w:bottom w:val="single" w:sz="4" w:space="0" w:color="auto"/>
              <w:right w:val="single" w:sz="4" w:space="0" w:color="auto"/>
            </w:tcBorders>
            <w:noWrap/>
            <w:vAlign w:val="center"/>
            <w:hideMark/>
          </w:tcPr>
          <w:p w14:paraId="483914C0"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 xml:space="preserve"> 4(11%) </w:t>
            </w:r>
          </w:p>
        </w:tc>
      </w:tr>
      <w:tr w:rsidR="00822C1E" w:rsidRPr="00A44C42" w14:paraId="500AEEB9" w14:textId="77777777" w:rsidTr="00CC0784">
        <w:trPr>
          <w:trHeight w:val="939"/>
        </w:trPr>
        <w:tc>
          <w:tcPr>
            <w:tcW w:w="3964" w:type="dxa"/>
            <w:tcBorders>
              <w:top w:val="nil"/>
              <w:left w:val="single" w:sz="4" w:space="0" w:color="auto"/>
              <w:bottom w:val="nil"/>
              <w:right w:val="single" w:sz="4" w:space="0" w:color="auto"/>
            </w:tcBorders>
            <w:vAlign w:val="center"/>
            <w:hideMark/>
          </w:tcPr>
          <w:p w14:paraId="69FB3A56" w14:textId="77777777" w:rsidR="00822C1E" w:rsidRPr="00A44C42" w:rsidRDefault="00822C1E" w:rsidP="008211E7">
            <w:pPr>
              <w:spacing w:after="0" w:line="240" w:lineRule="auto"/>
              <w:rPr>
                <w:rFonts w:eastAsia="Times New Roman" w:cs="Times New Roman"/>
                <w:color w:val="000000"/>
                <w:sz w:val="20"/>
                <w:szCs w:val="20"/>
              </w:rPr>
            </w:pPr>
            <w:r w:rsidRPr="00A44C42">
              <w:rPr>
                <w:rFonts w:eastAsia="Times New Roman" w:cs="Times New Roman"/>
                <w:color w:val="000000"/>
                <w:sz w:val="20"/>
                <w:szCs w:val="20"/>
              </w:rPr>
              <w:t>2.1.2 Feedback of community members engaged in the community action groups (50% women)</w:t>
            </w:r>
          </w:p>
        </w:tc>
        <w:tc>
          <w:tcPr>
            <w:tcW w:w="938" w:type="dxa"/>
            <w:tcBorders>
              <w:top w:val="nil"/>
              <w:left w:val="nil"/>
              <w:bottom w:val="nil"/>
              <w:right w:val="single" w:sz="4" w:space="0" w:color="auto"/>
            </w:tcBorders>
            <w:noWrap/>
            <w:vAlign w:val="center"/>
            <w:hideMark/>
          </w:tcPr>
          <w:p w14:paraId="65F9F3A5"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21(38%)</w:t>
            </w:r>
          </w:p>
        </w:tc>
        <w:tc>
          <w:tcPr>
            <w:tcW w:w="1027" w:type="dxa"/>
            <w:tcBorders>
              <w:top w:val="nil"/>
              <w:left w:val="nil"/>
              <w:bottom w:val="nil"/>
              <w:right w:val="single" w:sz="4" w:space="0" w:color="auto"/>
            </w:tcBorders>
            <w:noWrap/>
            <w:vAlign w:val="center"/>
            <w:hideMark/>
          </w:tcPr>
          <w:p w14:paraId="4104EB3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18(32%)</w:t>
            </w:r>
          </w:p>
        </w:tc>
        <w:tc>
          <w:tcPr>
            <w:tcW w:w="1076" w:type="dxa"/>
            <w:tcBorders>
              <w:top w:val="nil"/>
              <w:left w:val="nil"/>
              <w:bottom w:val="nil"/>
              <w:right w:val="single" w:sz="4" w:space="0" w:color="auto"/>
            </w:tcBorders>
            <w:noWrap/>
            <w:vAlign w:val="center"/>
            <w:hideMark/>
          </w:tcPr>
          <w:p w14:paraId="74BF800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3(5%)</w:t>
            </w:r>
          </w:p>
        </w:tc>
        <w:tc>
          <w:tcPr>
            <w:tcW w:w="1027" w:type="dxa"/>
            <w:tcBorders>
              <w:top w:val="nil"/>
              <w:left w:val="nil"/>
              <w:bottom w:val="nil"/>
              <w:right w:val="single" w:sz="4" w:space="0" w:color="auto"/>
            </w:tcBorders>
            <w:noWrap/>
            <w:vAlign w:val="center"/>
            <w:hideMark/>
          </w:tcPr>
          <w:p w14:paraId="719E91F5"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9(16%)</w:t>
            </w:r>
          </w:p>
        </w:tc>
        <w:tc>
          <w:tcPr>
            <w:tcW w:w="1108" w:type="dxa"/>
            <w:tcBorders>
              <w:top w:val="nil"/>
              <w:left w:val="nil"/>
              <w:bottom w:val="nil"/>
              <w:right w:val="single" w:sz="4" w:space="0" w:color="auto"/>
            </w:tcBorders>
            <w:noWrap/>
            <w:vAlign w:val="center"/>
            <w:hideMark/>
          </w:tcPr>
          <w:p w14:paraId="6B525DE9"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7(13%)</w:t>
            </w:r>
          </w:p>
        </w:tc>
        <w:tc>
          <w:tcPr>
            <w:tcW w:w="1175" w:type="dxa"/>
            <w:tcBorders>
              <w:top w:val="nil"/>
              <w:left w:val="nil"/>
              <w:bottom w:val="nil"/>
              <w:right w:val="single" w:sz="4" w:space="0" w:color="auto"/>
            </w:tcBorders>
            <w:noWrap/>
            <w:vAlign w:val="center"/>
            <w:hideMark/>
          </w:tcPr>
          <w:p w14:paraId="51E9A1DD"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5(9%)</w:t>
            </w:r>
          </w:p>
        </w:tc>
        <w:tc>
          <w:tcPr>
            <w:tcW w:w="1001" w:type="dxa"/>
            <w:tcBorders>
              <w:top w:val="nil"/>
              <w:left w:val="nil"/>
              <w:bottom w:val="nil"/>
              <w:right w:val="single" w:sz="4" w:space="0" w:color="auto"/>
            </w:tcBorders>
            <w:noWrap/>
            <w:vAlign w:val="center"/>
            <w:hideMark/>
          </w:tcPr>
          <w:p w14:paraId="0AF37C9F"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3(5%)</w:t>
            </w:r>
          </w:p>
        </w:tc>
        <w:tc>
          <w:tcPr>
            <w:tcW w:w="1027" w:type="dxa"/>
            <w:tcBorders>
              <w:top w:val="nil"/>
              <w:left w:val="nil"/>
              <w:bottom w:val="nil"/>
              <w:right w:val="single" w:sz="4" w:space="0" w:color="auto"/>
            </w:tcBorders>
            <w:noWrap/>
            <w:vAlign w:val="center"/>
            <w:hideMark/>
          </w:tcPr>
          <w:p w14:paraId="3A00915D"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8(14%)</w:t>
            </w:r>
          </w:p>
        </w:tc>
        <w:tc>
          <w:tcPr>
            <w:tcW w:w="1027" w:type="dxa"/>
            <w:tcBorders>
              <w:top w:val="nil"/>
              <w:left w:val="nil"/>
              <w:bottom w:val="nil"/>
              <w:right w:val="single" w:sz="4" w:space="0" w:color="auto"/>
            </w:tcBorders>
            <w:noWrap/>
            <w:vAlign w:val="center"/>
            <w:hideMark/>
          </w:tcPr>
          <w:p w14:paraId="42D5801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1(2%)</w:t>
            </w:r>
          </w:p>
        </w:tc>
        <w:tc>
          <w:tcPr>
            <w:tcW w:w="1031" w:type="dxa"/>
            <w:tcBorders>
              <w:top w:val="nil"/>
              <w:left w:val="nil"/>
              <w:bottom w:val="nil"/>
              <w:right w:val="single" w:sz="4" w:space="0" w:color="auto"/>
            </w:tcBorders>
            <w:noWrap/>
            <w:vAlign w:val="center"/>
            <w:hideMark/>
          </w:tcPr>
          <w:p w14:paraId="139ED981" w14:textId="77777777" w:rsidR="00822C1E" w:rsidRPr="00A44C42" w:rsidRDefault="00822C1E" w:rsidP="008211E7">
            <w:pPr>
              <w:spacing w:after="0" w:line="240" w:lineRule="auto"/>
              <w:jc w:val="center"/>
              <w:rPr>
                <w:rFonts w:eastAsia="Times New Roman" w:cs="Times New Roman"/>
                <w:color w:val="000000"/>
                <w:sz w:val="20"/>
                <w:szCs w:val="20"/>
              </w:rPr>
            </w:pPr>
            <w:r w:rsidRPr="00A44C42">
              <w:rPr>
                <w:rFonts w:eastAsia="Times New Roman" w:cs="Times New Roman"/>
                <w:color w:val="000000"/>
                <w:sz w:val="20"/>
                <w:szCs w:val="20"/>
              </w:rPr>
              <w:t>9(16%)</w:t>
            </w:r>
          </w:p>
        </w:tc>
      </w:tr>
      <w:tr w:rsidR="00667F0E" w:rsidRPr="00A44C42" w14:paraId="388943F9" w14:textId="77777777" w:rsidTr="00CC0784">
        <w:trPr>
          <w:trHeight w:val="939"/>
        </w:trPr>
        <w:tc>
          <w:tcPr>
            <w:tcW w:w="3964" w:type="dxa"/>
            <w:tcBorders>
              <w:top w:val="nil"/>
              <w:left w:val="single" w:sz="4" w:space="0" w:color="auto"/>
              <w:bottom w:val="nil"/>
              <w:right w:val="single" w:sz="4" w:space="0" w:color="auto"/>
            </w:tcBorders>
            <w:vAlign w:val="center"/>
          </w:tcPr>
          <w:p w14:paraId="5E562A95" w14:textId="5A57007D" w:rsidR="00667F0E" w:rsidRPr="00A44C42" w:rsidRDefault="00667F0E" w:rsidP="00667F0E">
            <w:pPr>
              <w:spacing w:after="0" w:line="240" w:lineRule="auto"/>
              <w:rPr>
                <w:rFonts w:eastAsia="Times New Roman" w:cs="Times New Roman"/>
                <w:color w:val="000000"/>
                <w:sz w:val="20"/>
                <w:szCs w:val="20"/>
              </w:rPr>
            </w:pPr>
            <w:r w:rsidRPr="000B350E">
              <w:rPr>
                <w:rFonts w:eastAsia="Times New Roman" w:cs="Times New Roman"/>
                <w:color w:val="000000"/>
                <w:sz w:val="20"/>
                <w:szCs w:val="20"/>
              </w:rPr>
              <w:lastRenderedPageBreak/>
              <w:t>A. 1.1' Number of CDP priority needs captured and implemented through the state budget at the LGA</w:t>
            </w:r>
          </w:p>
        </w:tc>
        <w:tc>
          <w:tcPr>
            <w:tcW w:w="938" w:type="dxa"/>
            <w:tcBorders>
              <w:top w:val="nil"/>
              <w:left w:val="nil"/>
              <w:bottom w:val="nil"/>
              <w:right w:val="single" w:sz="4" w:space="0" w:color="auto"/>
            </w:tcBorders>
            <w:noWrap/>
            <w:vAlign w:val="center"/>
          </w:tcPr>
          <w:p w14:paraId="2AAC7511" w14:textId="2E8E931D" w:rsidR="00667F0E" w:rsidRPr="00A44C42" w:rsidRDefault="00667F0E" w:rsidP="00667F0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513C5F9" w14:textId="3DFF0BAE"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nil"/>
              <w:right w:val="single" w:sz="4" w:space="0" w:color="auto"/>
            </w:tcBorders>
            <w:noWrap/>
          </w:tcPr>
          <w:p w14:paraId="529EAF28" w14:textId="5BFECA01"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2CB2793C" w14:textId="676BD349"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nil"/>
              <w:right w:val="single" w:sz="4" w:space="0" w:color="auto"/>
            </w:tcBorders>
            <w:noWrap/>
          </w:tcPr>
          <w:p w14:paraId="55E1B542" w14:textId="18FCDC7F"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nil"/>
              <w:right w:val="single" w:sz="4" w:space="0" w:color="auto"/>
            </w:tcBorders>
            <w:noWrap/>
          </w:tcPr>
          <w:p w14:paraId="4EF3833C" w14:textId="04F4929E"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nil"/>
              <w:right w:val="single" w:sz="4" w:space="0" w:color="auto"/>
            </w:tcBorders>
            <w:noWrap/>
          </w:tcPr>
          <w:p w14:paraId="6EFE81F7" w14:textId="5DFFA6A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4CCD386" w14:textId="65C374D3"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0DB79A6" w14:textId="7A4145B3"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nil"/>
              <w:right w:val="single" w:sz="4" w:space="0" w:color="auto"/>
            </w:tcBorders>
            <w:noWrap/>
          </w:tcPr>
          <w:p w14:paraId="6ED69118" w14:textId="54CE1426"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r w:rsidR="00667F0E" w:rsidRPr="00A44C42" w14:paraId="600E387F" w14:textId="77777777" w:rsidTr="00CC0784">
        <w:trPr>
          <w:trHeight w:val="50"/>
        </w:trPr>
        <w:tc>
          <w:tcPr>
            <w:tcW w:w="3964" w:type="dxa"/>
            <w:tcBorders>
              <w:top w:val="nil"/>
              <w:left w:val="single" w:sz="4" w:space="0" w:color="auto"/>
              <w:bottom w:val="single" w:sz="4" w:space="0" w:color="auto"/>
              <w:right w:val="single" w:sz="4" w:space="0" w:color="auto"/>
            </w:tcBorders>
            <w:vAlign w:val="center"/>
          </w:tcPr>
          <w:p w14:paraId="76DA495D" w14:textId="77777777" w:rsidR="00667F0E" w:rsidRPr="00A44C42" w:rsidRDefault="00667F0E" w:rsidP="00667F0E">
            <w:pPr>
              <w:spacing w:after="0" w:line="240" w:lineRule="auto"/>
              <w:rPr>
                <w:rFonts w:eastAsia="Times New Roman" w:cs="Times New Roman"/>
                <w:color w:val="000000"/>
                <w:sz w:val="20"/>
                <w:szCs w:val="20"/>
              </w:rPr>
            </w:pPr>
          </w:p>
        </w:tc>
        <w:tc>
          <w:tcPr>
            <w:tcW w:w="938" w:type="dxa"/>
            <w:tcBorders>
              <w:top w:val="nil"/>
              <w:left w:val="nil"/>
              <w:bottom w:val="single" w:sz="4" w:space="0" w:color="auto"/>
              <w:right w:val="single" w:sz="4" w:space="0" w:color="auto"/>
            </w:tcBorders>
            <w:noWrap/>
            <w:vAlign w:val="center"/>
          </w:tcPr>
          <w:p w14:paraId="2F3D7D3B" w14:textId="77777777" w:rsidR="00667F0E" w:rsidRPr="00A44C42" w:rsidRDefault="00667F0E" w:rsidP="00667F0E">
            <w:pPr>
              <w:spacing w:after="0" w:line="240" w:lineRule="auto"/>
              <w:jc w:val="center"/>
              <w:rPr>
                <w:rFonts w:eastAsia="Times New Roman" w:cs="Times New Roman"/>
                <w:color w:val="000000"/>
                <w:sz w:val="20"/>
                <w:szCs w:val="20"/>
              </w:rPr>
            </w:pPr>
          </w:p>
        </w:tc>
        <w:tc>
          <w:tcPr>
            <w:tcW w:w="1027" w:type="dxa"/>
            <w:tcBorders>
              <w:top w:val="nil"/>
              <w:left w:val="nil"/>
              <w:bottom w:val="single" w:sz="4" w:space="0" w:color="auto"/>
              <w:right w:val="single" w:sz="4" w:space="0" w:color="auto"/>
            </w:tcBorders>
            <w:noWrap/>
          </w:tcPr>
          <w:p w14:paraId="64FA116E" w14:textId="7C6FF197"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single" w:sz="4" w:space="0" w:color="auto"/>
              <w:right w:val="single" w:sz="4" w:space="0" w:color="auto"/>
            </w:tcBorders>
            <w:noWrap/>
          </w:tcPr>
          <w:p w14:paraId="687B905C" w14:textId="58988126"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675E0CBC" w14:textId="2E957F85"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single" w:sz="4" w:space="0" w:color="auto"/>
              <w:right w:val="single" w:sz="4" w:space="0" w:color="auto"/>
            </w:tcBorders>
            <w:noWrap/>
          </w:tcPr>
          <w:p w14:paraId="1E1B770B" w14:textId="37A3B76C"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single" w:sz="4" w:space="0" w:color="auto"/>
              <w:right w:val="single" w:sz="4" w:space="0" w:color="auto"/>
            </w:tcBorders>
            <w:noWrap/>
          </w:tcPr>
          <w:p w14:paraId="1EB2A64F" w14:textId="35A962A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single" w:sz="4" w:space="0" w:color="auto"/>
              <w:right w:val="single" w:sz="4" w:space="0" w:color="auto"/>
            </w:tcBorders>
            <w:noWrap/>
          </w:tcPr>
          <w:p w14:paraId="46A2D8D9" w14:textId="33A9E72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7065E6DA" w14:textId="1665AFAD"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10563A3A" w14:textId="351BD818"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single" w:sz="4" w:space="0" w:color="auto"/>
              <w:right w:val="single" w:sz="4" w:space="0" w:color="auto"/>
            </w:tcBorders>
            <w:noWrap/>
          </w:tcPr>
          <w:p w14:paraId="57046E74" w14:textId="00E7EBE5"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r w:rsidR="00667F0E" w:rsidRPr="00A44C42" w14:paraId="3907AAAC" w14:textId="77777777" w:rsidTr="00CC0784">
        <w:trPr>
          <w:trHeight w:val="939"/>
        </w:trPr>
        <w:tc>
          <w:tcPr>
            <w:tcW w:w="3964" w:type="dxa"/>
            <w:tcBorders>
              <w:top w:val="nil"/>
              <w:left w:val="single" w:sz="4" w:space="0" w:color="auto"/>
              <w:bottom w:val="single" w:sz="4" w:space="0" w:color="auto"/>
              <w:right w:val="single" w:sz="4" w:space="0" w:color="auto"/>
            </w:tcBorders>
            <w:vAlign w:val="center"/>
          </w:tcPr>
          <w:p w14:paraId="5F28192A" w14:textId="64FB07B9" w:rsidR="00667F0E" w:rsidRPr="00A44C42" w:rsidRDefault="00667F0E" w:rsidP="00667F0E">
            <w:pPr>
              <w:spacing w:after="0" w:line="240" w:lineRule="auto"/>
              <w:rPr>
                <w:rFonts w:eastAsia="Times New Roman" w:cs="Times New Roman"/>
                <w:color w:val="000000"/>
                <w:sz w:val="20"/>
                <w:szCs w:val="20"/>
              </w:rPr>
            </w:pPr>
            <w:r w:rsidRPr="000B350E">
              <w:rPr>
                <w:rFonts w:eastAsia="Times New Roman" w:cs="Times New Roman"/>
                <w:color w:val="000000"/>
                <w:sz w:val="20"/>
                <w:szCs w:val="20"/>
              </w:rPr>
              <w:t>B. 1.2 '% of participants in community development planning processes who confirmed that their viewpoints have been considered in local decision-making processes</w:t>
            </w:r>
          </w:p>
        </w:tc>
        <w:tc>
          <w:tcPr>
            <w:tcW w:w="938" w:type="dxa"/>
            <w:tcBorders>
              <w:top w:val="nil"/>
              <w:left w:val="nil"/>
              <w:bottom w:val="single" w:sz="4" w:space="0" w:color="auto"/>
              <w:right w:val="single" w:sz="4" w:space="0" w:color="auto"/>
            </w:tcBorders>
            <w:noWrap/>
          </w:tcPr>
          <w:p w14:paraId="205A488F" w14:textId="579A8A5E" w:rsidR="00667F0E" w:rsidRPr="00A44C42" w:rsidRDefault="00667F0E" w:rsidP="00667F0E">
            <w:pPr>
              <w:spacing w:after="0" w:line="240" w:lineRule="auto"/>
              <w:jc w:val="center"/>
              <w:rPr>
                <w:rFonts w:eastAsia="Times New Roman" w:cs="Times New Roman"/>
                <w:color w:val="000000"/>
                <w:sz w:val="20"/>
                <w:szCs w:val="20"/>
              </w:rPr>
            </w:pPr>
            <w:r w:rsidRPr="00CA2404">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429E69CB" w14:textId="6D9436D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single" w:sz="4" w:space="0" w:color="auto"/>
              <w:right w:val="single" w:sz="4" w:space="0" w:color="auto"/>
            </w:tcBorders>
            <w:noWrap/>
          </w:tcPr>
          <w:p w14:paraId="524D7466" w14:textId="6D9F6126"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00775D3A" w14:textId="3849EFA7"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single" w:sz="4" w:space="0" w:color="auto"/>
              <w:right w:val="single" w:sz="4" w:space="0" w:color="auto"/>
            </w:tcBorders>
            <w:noWrap/>
          </w:tcPr>
          <w:p w14:paraId="7E402A52" w14:textId="1EC0886C"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single" w:sz="4" w:space="0" w:color="auto"/>
              <w:right w:val="single" w:sz="4" w:space="0" w:color="auto"/>
            </w:tcBorders>
            <w:noWrap/>
          </w:tcPr>
          <w:p w14:paraId="7EA48B17" w14:textId="3E39B346"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single" w:sz="4" w:space="0" w:color="auto"/>
              <w:right w:val="single" w:sz="4" w:space="0" w:color="auto"/>
            </w:tcBorders>
            <w:noWrap/>
          </w:tcPr>
          <w:p w14:paraId="0978EE1D" w14:textId="1814C43E"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7F5392A4" w14:textId="56113E56"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442DA20D" w14:textId="083DD223"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single" w:sz="4" w:space="0" w:color="auto"/>
              <w:right w:val="single" w:sz="4" w:space="0" w:color="auto"/>
            </w:tcBorders>
            <w:noWrap/>
          </w:tcPr>
          <w:p w14:paraId="25AEABF5" w14:textId="5C516DD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r w:rsidR="00667F0E" w:rsidRPr="00A44C42" w14:paraId="48DA8758" w14:textId="77777777" w:rsidTr="00CC0784">
        <w:trPr>
          <w:trHeight w:val="939"/>
        </w:trPr>
        <w:tc>
          <w:tcPr>
            <w:tcW w:w="3964" w:type="dxa"/>
            <w:tcBorders>
              <w:top w:val="nil"/>
              <w:left w:val="single" w:sz="4" w:space="0" w:color="auto"/>
              <w:bottom w:val="nil"/>
              <w:right w:val="single" w:sz="4" w:space="0" w:color="auto"/>
            </w:tcBorders>
            <w:vAlign w:val="center"/>
          </w:tcPr>
          <w:p w14:paraId="3DC9015F" w14:textId="479EE18A" w:rsidR="00667F0E" w:rsidRPr="00A44C42" w:rsidRDefault="00667F0E" w:rsidP="00667F0E">
            <w:pPr>
              <w:spacing w:after="0" w:line="240" w:lineRule="auto"/>
              <w:rPr>
                <w:rFonts w:eastAsia="Times New Roman" w:cs="Times New Roman"/>
                <w:color w:val="000000"/>
                <w:sz w:val="20"/>
                <w:szCs w:val="20"/>
              </w:rPr>
            </w:pPr>
            <w:r w:rsidRPr="000B350E">
              <w:rPr>
                <w:rFonts w:eastAsia="Times New Roman" w:cs="Times New Roman"/>
                <w:color w:val="000000"/>
                <w:sz w:val="20"/>
                <w:szCs w:val="20"/>
              </w:rPr>
              <w:t>C.  2.2 % of participants involved in measures/initiatives to foster cohesion who confirmed that the quality of their social relations with other community representatives has improved</w:t>
            </w:r>
          </w:p>
        </w:tc>
        <w:tc>
          <w:tcPr>
            <w:tcW w:w="938" w:type="dxa"/>
            <w:tcBorders>
              <w:top w:val="nil"/>
              <w:left w:val="nil"/>
              <w:bottom w:val="nil"/>
              <w:right w:val="single" w:sz="4" w:space="0" w:color="auto"/>
            </w:tcBorders>
            <w:noWrap/>
          </w:tcPr>
          <w:p w14:paraId="634676CC" w14:textId="5EBB2B16" w:rsidR="00667F0E" w:rsidRPr="00A44C42" w:rsidRDefault="00667F0E" w:rsidP="00667F0E">
            <w:pPr>
              <w:spacing w:after="0" w:line="240" w:lineRule="auto"/>
              <w:jc w:val="center"/>
              <w:rPr>
                <w:rFonts w:eastAsia="Times New Roman" w:cs="Times New Roman"/>
                <w:color w:val="000000"/>
                <w:sz w:val="20"/>
                <w:szCs w:val="20"/>
              </w:rPr>
            </w:pPr>
            <w:r w:rsidRPr="00CA2404">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21484F6C" w14:textId="6A0817FD"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nil"/>
              <w:right w:val="single" w:sz="4" w:space="0" w:color="auto"/>
            </w:tcBorders>
            <w:noWrap/>
          </w:tcPr>
          <w:p w14:paraId="6E1B9782" w14:textId="165EE08C"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39035B0" w14:textId="077BA773"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nil"/>
              <w:right w:val="single" w:sz="4" w:space="0" w:color="auto"/>
            </w:tcBorders>
            <w:noWrap/>
          </w:tcPr>
          <w:p w14:paraId="3E68644C" w14:textId="5B3E571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nil"/>
              <w:right w:val="single" w:sz="4" w:space="0" w:color="auto"/>
            </w:tcBorders>
            <w:noWrap/>
          </w:tcPr>
          <w:p w14:paraId="45DC9CC3" w14:textId="469F56C7"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nil"/>
              <w:right w:val="single" w:sz="4" w:space="0" w:color="auto"/>
            </w:tcBorders>
            <w:noWrap/>
          </w:tcPr>
          <w:p w14:paraId="3B76C6EC" w14:textId="6FB93D89"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56BA1CA8" w14:textId="6E9155D0"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CEA3977" w14:textId="46B32BC8"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nil"/>
              <w:right w:val="single" w:sz="4" w:space="0" w:color="auto"/>
            </w:tcBorders>
            <w:noWrap/>
          </w:tcPr>
          <w:p w14:paraId="00AB5B4F" w14:textId="3AF05735"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r w:rsidR="00667F0E" w:rsidRPr="00A44C42" w14:paraId="7072DC21" w14:textId="77777777" w:rsidTr="00CC0784">
        <w:trPr>
          <w:trHeight w:val="939"/>
        </w:trPr>
        <w:tc>
          <w:tcPr>
            <w:tcW w:w="3964" w:type="dxa"/>
            <w:tcBorders>
              <w:top w:val="nil"/>
              <w:left w:val="single" w:sz="4" w:space="0" w:color="auto"/>
              <w:bottom w:val="nil"/>
              <w:right w:val="single" w:sz="4" w:space="0" w:color="auto"/>
            </w:tcBorders>
            <w:vAlign w:val="center"/>
          </w:tcPr>
          <w:p w14:paraId="375904CD" w14:textId="5CF0B35D" w:rsidR="00667F0E" w:rsidRPr="000B350E" w:rsidRDefault="00667F0E" w:rsidP="00667F0E">
            <w:pPr>
              <w:spacing w:after="0" w:line="240" w:lineRule="auto"/>
              <w:rPr>
                <w:rFonts w:eastAsia="Times New Roman" w:cs="Times New Roman"/>
                <w:color w:val="000000"/>
                <w:sz w:val="20"/>
                <w:szCs w:val="20"/>
              </w:rPr>
            </w:pPr>
            <w:r w:rsidRPr="000B350E">
              <w:rPr>
                <w:rFonts w:eastAsia="Times New Roman" w:cs="Times New Roman"/>
                <w:color w:val="000000"/>
                <w:sz w:val="20"/>
                <w:szCs w:val="20"/>
              </w:rPr>
              <w:t>D 2.2. Number of initiatives established to boost budget transparency at the LGA level</w:t>
            </w:r>
          </w:p>
        </w:tc>
        <w:tc>
          <w:tcPr>
            <w:tcW w:w="938" w:type="dxa"/>
            <w:tcBorders>
              <w:top w:val="nil"/>
              <w:left w:val="nil"/>
              <w:bottom w:val="nil"/>
              <w:right w:val="single" w:sz="4" w:space="0" w:color="auto"/>
            </w:tcBorders>
            <w:noWrap/>
          </w:tcPr>
          <w:p w14:paraId="6D19FA52" w14:textId="4D70DD42" w:rsidR="00667F0E" w:rsidRPr="00A44C42" w:rsidRDefault="00667F0E" w:rsidP="00667F0E">
            <w:pPr>
              <w:spacing w:after="0" w:line="240" w:lineRule="auto"/>
              <w:jc w:val="center"/>
              <w:rPr>
                <w:rFonts w:eastAsia="Times New Roman" w:cs="Times New Roman"/>
                <w:color w:val="000000"/>
                <w:sz w:val="20"/>
                <w:szCs w:val="20"/>
              </w:rPr>
            </w:pPr>
            <w:r w:rsidRPr="00CA2404">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18A5116E" w14:textId="538D2EEF"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nil"/>
              <w:right w:val="single" w:sz="4" w:space="0" w:color="auto"/>
            </w:tcBorders>
            <w:noWrap/>
          </w:tcPr>
          <w:p w14:paraId="0F9A6355" w14:textId="50D92A8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30E17A76" w14:textId="2DD388B9"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nil"/>
              <w:right w:val="single" w:sz="4" w:space="0" w:color="auto"/>
            </w:tcBorders>
            <w:noWrap/>
          </w:tcPr>
          <w:p w14:paraId="5523DEC0" w14:textId="019F4474"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nil"/>
              <w:right w:val="single" w:sz="4" w:space="0" w:color="auto"/>
            </w:tcBorders>
            <w:noWrap/>
          </w:tcPr>
          <w:p w14:paraId="5C255C71" w14:textId="69D0DBA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nil"/>
              <w:right w:val="single" w:sz="4" w:space="0" w:color="auto"/>
            </w:tcBorders>
            <w:noWrap/>
          </w:tcPr>
          <w:p w14:paraId="20583C16" w14:textId="307AA7C2"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7405D415" w14:textId="5895EDF8"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nil"/>
              <w:right w:val="single" w:sz="4" w:space="0" w:color="auto"/>
            </w:tcBorders>
            <w:noWrap/>
          </w:tcPr>
          <w:p w14:paraId="1EA61D65" w14:textId="62A371C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nil"/>
              <w:right w:val="single" w:sz="4" w:space="0" w:color="auto"/>
            </w:tcBorders>
            <w:noWrap/>
          </w:tcPr>
          <w:p w14:paraId="65C27797" w14:textId="314E59B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r w:rsidR="00667F0E" w:rsidRPr="00A44C42" w14:paraId="4B88608D" w14:textId="77777777" w:rsidTr="00CC0784">
        <w:trPr>
          <w:trHeight w:val="939"/>
        </w:trPr>
        <w:tc>
          <w:tcPr>
            <w:tcW w:w="3964" w:type="dxa"/>
            <w:tcBorders>
              <w:top w:val="nil"/>
              <w:left w:val="single" w:sz="4" w:space="0" w:color="auto"/>
              <w:bottom w:val="single" w:sz="4" w:space="0" w:color="auto"/>
              <w:right w:val="single" w:sz="4" w:space="0" w:color="auto"/>
            </w:tcBorders>
            <w:vAlign w:val="center"/>
          </w:tcPr>
          <w:p w14:paraId="3745C96A" w14:textId="0242843D" w:rsidR="00667F0E" w:rsidRPr="000B350E" w:rsidRDefault="00667F0E" w:rsidP="00667F0E">
            <w:pPr>
              <w:spacing w:after="0" w:line="240" w:lineRule="auto"/>
              <w:rPr>
                <w:rFonts w:eastAsia="Times New Roman" w:cs="Times New Roman"/>
                <w:color w:val="000000"/>
                <w:sz w:val="20"/>
                <w:szCs w:val="20"/>
              </w:rPr>
            </w:pPr>
            <w:r w:rsidRPr="000B350E">
              <w:rPr>
                <w:rFonts w:eastAsia="Times New Roman" w:cs="Times New Roman"/>
                <w:color w:val="000000"/>
                <w:sz w:val="20"/>
                <w:szCs w:val="20"/>
              </w:rPr>
              <w:t xml:space="preserve">E. 3.1. Number of people directly supported through measures to foster </w:t>
            </w:r>
            <w:proofErr w:type="gramStart"/>
            <w:r w:rsidRPr="000B350E">
              <w:rPr>
                <w:rFonts w:eastAsia="Times New Roman" w:cs="Times New Roman"/>
                <w:color w:val="000000"/>
                <w:sz w:val="20"/>
                <w:szCs w:val="20"/>
              </w:rPr>
              <w:t xml:space="preserve">cohesion  </w:t>
            </w:r>
            <w:proofErr w:type="spellStart"/>
            <w:r w:rsidRPr="000B350E">
              <w:rPr>
                <w:rFonts w:eastAsia="Times New Roman" w:cs="Times New Roman"/>
                <w:color w:val="000000"/>
                <w:sz w:val="20"/>
                <w:szCs w:val="20"/>
              </w:rPr>
              <w:t>reo</w:t>
            </w:r>
            <w:proofErr w:type="spellEnd"/>
            <w:proofErr w:type="gramEnd"/>
          </w:p>
        </w:tc>
        <w:tc>
          <w:tcPr>
            <w:tcW w:w="938" w:type="dxa"/>
            <w:tcBorders>
              <w:top w:val="nil"/>
              <w:left w:val="nil"/>
              <w:bottom w:val="single" w:sz="4" w:space="0" w:color="auto"/>
              <w:right w:val="single" w:sz="4" w:space="0" w:color="auto"/>
            </w:tcBorders>
            <w:noWrap/>
          </w:tcPr>
          <w:p w14:paraId="0B4CACAC" w14:textId="7DE506E3" w:rsidR="00667F0E" w:rsidRPr="00A44C42" w:rsidRDefault="00667F0E" w:rsidP="00667F0E">
            <w:pPr>
              <w:spacing w:after="0" w:line="240" w:lineRule="auto"/>
              <w:jc w:val="center"/>
              <w:rPr>
                <w:rFonts w:eastAsia="Times New Roman" w:cs="Times New Roman"/>
                <w:color w:val="000000"/>
                <w:sz w:val="20"/>
                <w:szCs w:val="20"/>
              </w:rPr>
            </w:pPr>
            <w:r w:rsidRPr="00CA2404">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1788E8B3" w14:textId="6A4E617C"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76" w:type="dxa"/>
            <w:tcBorders>
              <w:top w:val="nil"/>
              <w:left w:val="nil"/>
              <w:bottom w:val="single" w:sz="4" w:space="0" w:color="auto"/>
              <w:right w:val="single" w:sz="4" w:space="0" w:color="auto"/>
            </w:tcBorders>
            <w:noWrap/>
          </w:tcPr>
          <w:p w14:paraId="7A53E6ED" w14:textId="36409A4A"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7FCF125F" w14:textId="2730DF8D"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08" w:type="dxa"/>
            <w:tcBorders>
              <w:top w:val="nil"/>
              <w:left w:val="nil"/>
              <w:bottom w:val="single" w:sz="4" w:space="0" w:color="auto"/>
              <w:right w:val="single" w:sz="4" w:space="0" w:color="auto"/>
            </w:tcBorders>
            <w:noWrap/>
          </w:tcPr>
          <w:p w14:paraId="4600C584" w14:textId="5611D3B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175" w:type="dxa"/>
            <w:tcBorders>
              <w:top w:val="nil"/>
              <w:left w:val="nil"/>
              <w:bottom w:val="single" w:sz="4" w:space="0" w:color="auto"/>
              <w:right w:val="single" w:sz="4" w:space="0" w:color="auto"/>
            </w:tcBorders>
            <w:noWrap/>
          </w:tcPr>
          <w:p w14:paraId="26A62E4C" w14:textId="0C8824FD"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01" w:type="dxa"/>
            <w:tcBorders>
              <w:top w:val="nil"/>
              <w:left w:val="nil"/>
              <w:bottom w:val="single" w:sz="4" w:space="0" w:color="auto"/>
              <w:right w:val="single" w:sz="4" w:space="0" w:color="auto"/>
            </w:tcBorders>
            <w:noWrap/>
          </w:tcPr>
          <w:p w14:paraId="504AEF2D" w14:textId="6C828209"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65C67BD2" w14:textId="0AD72208"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27" w:type="dxa"/>
            <w:tcBorders>
              <w:top w:val="nil"/>
              <w:left w:val="nil"/>
              <w:bottom w:val="single" w:sz="4" w:space="0" w:color="auto"/>
              <w:right w:val="single" w:sz="4" w:space="0" w:color="auto"/>
            </w:tcBorders>
            <w:noWrap/>
          </w:tcPr>
          <w:p w14:paraId="0A890567" w14:textId="3351664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c>
          <w:tcPr>
            <w:tcW w:w="1031" w:type="dxa"/>
            <w:tcBorders>
              <w:top w:val="nil"/>
              <w:left w:val="nil"/>
              <w:bottom w:val="single" w:sz="4" w:space="0" w:color="auto"/>
              <w:right w:val="single" w:sz="4" w:space="0" w:color="auto"/>
            </w:tcBorders>
            <w:noWrap/>
          </w:tcPr>
          <w:p w14:paraId="45A0F94A" w14:textId="25D52DBB" w:rsidR="00667F0E" w:rsidRPr="00A44C42" w:rsidRDefault="00667F0E" w:rsidP="00667F0E">
            <w:pPr>
              <w:spacing w:after="0" w:line="240" w:lineRule="auto"/>
              <w:jc w:val="center"/>
              <w:rPr>
                <w:rFonts w:eastAsia="Times New Roman" w:cs="Times New Roman"/>
                <w:color w:val="000000"/>
                <w:sz w:val="20"/>
                <w:szCs w:val="20"/>
              </w:rPr>
            </w:pPr>
            <w:r w:rsidRPr="00E92E65">
              <w:rPr>
                <w:rFonts w:eastAsia="Times New Roman" w:cs="Times New Roman"/>
                <w:color w:val="000000"/>
                <w:sz w:val="20"/>
                <w:szCs w:val="20"/>
              </w:rPr>
              <w:t>N/A</w:t>
            </w:r>
          </w:p>
        </w:tc>
      </w:tr>
    </w:tbl>
    <w:p w14:paraId="4E750646" w14:textId="77777777" w:rsidR="00822C1E" w:rsidRDefault="00822C1E" w:rsidP="00822C1E">
      <w:pPr>
        <w:sectPr w:rsidR="00822C1E" w:rsidSect="00822C1E">
          <w:pgSz w:w="16838" w:h="11906" w:orient="landscape"/>
          <w:pgMar w:top="1440" w:right="1440" w:bottom="1440" w:left="1440" w:header="708" w:footer="278" w:gutter="0"/>
          <w:pgNumType w:start="0"/>
          <w:cols w:space="720"/>
          <w:titlePg/>
          <w:docGrid w:linePitch="326"/>
        </w:sectPr>
      </w:pPr>
    </w:p>
    <w:p w14:paraId="00000266" w14:textId="77777777" w:rsidR="00D84B93" w:rsidRDefault="00AC6398">
      <w:pPr>
        <w:pStyle w:val="Heading1"/>
      </w:pPr>
      <w:bookmarkStart w:id="83" w:name="_heading=h.ivww8esyp3ln" w:colFirst="0" w:colLast="0"/>
      <w:bookmarkStart w:id="84" w:name="_Toc207390353"/>
      <w:bookmarkEnd w:id="83"/>
      <w:r>
        <w:lastRenderedPageBreak/>
        <w:t>6. CONCLUSION</w:t>
      </w:r>
      <w:bookmarkEnd w:id="84"/>
    </w:p>
    <w:p w14:paraId="00000267" w14:textId="77777777" w:rsidR="00D84B93" w:rsidRDefault="00AC6398">
      <w:pPr>
        <w:pStyle w:val="Heading2"/>
      </w:pPr>
      <w:bookmarkStart w:id="85" w:name="_Toc207390354"/>
      <w:r>
        <w:t>6.1 Summary of Core Findings</w:t>
      </w:r>
      <w:bookmarkEnd w:id="85"/>
    </w:p>
    <w:p w14:paraId="00000268" w14:textId="24DC56DC" w:rsidR="00D84B93" w:rsidRDefault="1B9881BF">
      <w:r>
        <w:t xml:space="preserve">The baseline assessment paints a mixed picture of progress and persistent gaps across the 31 wards surveyed in Biu, Guyuk, and Kwaya Kusar. With 436 respondents engaged surpassing initial targets of </w:t>
      </w:r>
      <w:r w:rsidR="007121F5">
        <w:t>384</w:t>
      </w:r>
      <w:r>
        <w:t xml:space="preserve"> the study offers valuable insight into how communities perceive and engage with local governance processes.</w:t>
      </w:r>
    </w:p>
    <w:p w14:paraId="00000269" w14:textId="33FCFB9B" w:rsidR="00D84B93" w:rsidRDefault="1B9881BF">
      <w:r>
        <w:t xml:space="preserve">One of the most striking findings is that only one in five respondents representing </w:t>
      </w:r>
      <w:r w:rsidR="0069182B">
        <w:t>20</w:t>
      </w:r>
      <w:r>
        <w:t xml:space="preserve"> % reported participating in any local governance activity over the past </w:t>
      </w:r>
      <w:r w:rsidR="00260676">
        <w:t xml:space="preserve">one </w:t>
      </w:r>
      <w:r>
        <w:t>year. Among these, just 10.7% believed their local government had become more responsive through the CDP process. This highlights a disconnect between participation and meaningful change.</w:t>
      </w:r>
    </w:p>
    <w:p w14:paraId="0000026A" w14:textId="77E05D17" w:rsidR="00D84B93" w:rsidRDefault="00AC6398">
      <w:r>
        <w:t xml:space="preserve">Across all wards, communities clearly articulated their priorities: reliable water access, better roads, and improved healthcare topped the list. Yet nearly half of respondents were unable to identify a single service improvement linked to the CDPs. This </w:t>
      </w:r>
      <w:proofErr w:type="gramStart"/>
      <w:r>
        <w:t>disconnect</w:t>
      </w:r>
      <w:proofErr w:type="gramEnd"/>
      <w:r>
        <w:t xml:space="preserve"> between planning and tangible outcomes risks deepening public mistrust.</w:t>
      </w:r>
    </w:p>
    <w:p w14:paraId="0000026B" w14:textId="77777777" w:rsidR="00D84B93" w:rsidRDefault="00AC6398">
      <w:r>
        <w:t>The findings also reveal how power remains concentrated within narrow circles of gatekeepers. Traditional leaders, political actors, and a few influential individuals continue to control access to resources, information, and participation opportunities. Women, youth, and displaced populations are often excluded from decision-making spaces. However, in wards where Community Action Groups (CAGs) and ward forums were inclusive and functional, respondents expressed greater optimism and a stronger willingness to engage.</w:t>
      </w:r>
    </w:p>
    <w:p w14:paraId="0000026C" w14:textId="77777777" w:rsidR="00D84B93" w:rsidRDefault="00AC6398">
      <w:pPr>
        <w:pStyle w:val="Heading2"/>
      </w:pPr>
      <w:bookmarkStart w:id="86" w:name="_Toc207390355"/>
      <w:r>
        <w:t>6.2 What the Findings Mean for CDP Implementation</w:t>
      </w:r>
      <w:bookmarkEnd w:id="86"/>
    </w:p>
    <w:p w14:paraId="0000026D" w14:textId="161BFEC0" w:rsidR="00D84B93" w:rsidRDefault="4FB4247E">
      <w:r>
        <w:t>The results showed that the foundations for effective community development planning are in place but the transition from planning to impact remains fragile. The identification of 30 ward-level priority interventions 21 of which specifically target vulnerable groups demonstrates local capacity and appetite for more inclusive planning.</w:t>
      </w:r>
    </w:p>
    <w:p w14:paraId="0000026E" w14:textId="1BD918BE" w:rsidR="00D84B93" w:rsidRDefault="003B5802">
      <w:r w:rsidRPr="003B5802">
        <w:t>In wards like Banjiram (Guyuk LGA) and Zarawuyaku (Biu LGA), respondents noted that their inclusion in planning meetings—particularly women and youth—led to greater trust in local governance. These examples illustrate how even limited responsiveness can enhance community confidence and reinforce the value of CDPs as tools for rebuilding social</w:t>
      </w:r>
      <w:r>
        <w:t xml:space="preserve"> trust</w:t>
      </w:r>
      <w:r w:rsidR="38B53A14">
        <w:t>.</w:t>
      </w:r>
    </w:p>
    <w:p w14:paraId="0000026F" w14:textId="145C0AD0" w:rsidR="00D84B93" w:rsidRDefault="00AC6398">
      <w:r>
        <w:t>At the same time, uneven participation across LGAs especially in Biu and Kwaya Kusar</w:t>
      </w:r>
      <w:r w:rsidR="0009280D">
        <w:t xml:space="preserve">, </w:t>
      </w:r>
      <w:r>
        <w:t>signals the need for more intentional efforts to widen access, reduce structural exclusion, and strengthen coordination among stakeholders.</w:t>
      </w:r>
    </w:p>
    <w:p w14:paraId="00000270" w14:textId="77777777" w:rsidR="00D84B93" w:rsidRDefault="00AC6398">
      <w:pPr>
        <w:pStyle w:val="Heading2"/>
      </w:pPr>
      <w:bookmarkStart w:id="87" w:name="_Toc207390356"/>
      <w:r>
        <w:t>6.3 Readiness, Risks, and Institutional Gaps</w:t>
      </w:r>
      <w:bookmarkEnd w:id="87"/>
    </w:p>
    <w:p w14:paraId="00000271" w14:textId="7296F116" w:rsidR="00D84B93" w:rsidRDefault="4A1DBCB2">
      <w:r>
        <w:t>The assessment identified several factors that could influence the success or failure of CDP implementation. Community readiness was identified as the highest where local leadership is engaged and civil society is active. However, critical institutional gaps remain which an effective CDP is expected to fill.</w:t>
      </w:r>
    </w:p>
    <w:p w14:paraId="00000272" w14:textId="5D759074" w:rsidR="00D84B93" w:rsidRDefault="00AC6398">
      <w:r>
        <w:lastRenderedPageBreak/>
        <w:t>Only 38% of respondents were aware of any mechanism to monitor intervention progress, and 41% had received no feedback at all pointing to major accountability deficits. Moreover, one-third of priority interventions targeting vulnerable groups were not reflected in current budget frameworks, raising concerns about financial commitment to inclusive development.</w:t>
      </w:r>
    </w:p>
    <w:p w14:paraId="00000273" w14:textId="23ABBE72" w:rsidR="00D84B93" w:rsidRDefault="00AC6398">
      <w:r>
        <w:t xml:space="preserve">While women make up at </w:t>
      </w:r>
      <w:r w:rsidR="00822C1E">
        <w:t xml:space="preserve">more than </w:t>
      </w:r>
      <w:r>
        <w:t>half of CAG members in most wards, only 61% of groups reported active female participation in decision-making. This gap between representation and influence requires urgent attention.</w:t>
      </w:r>
    </w:p>
    <w:p w14:paraId="00000274" w14:textId="698E84F8" w:rsidR="00D84B93" w:rsidRDefault="006F4F34">
      <w:r w:rsidRPr="006F4F34">
        <w:t>For CDPs to evolve into effective tools for equitable development and social cohesion, three shifts are essential: visible and transparent progress tracking; deliberate inclusion of marginalised voices in actual decision-making—not just attendance; and closer alignment between community priorities and government budget allocations. Without these, the promise of community-driven development and strengthened social bonds will remain unrealised</w:t>
      </w:r>
      <w:r w:rsidR="0FE789F3">
        <w:t>.</w:t>
      </w:r>
    </w:p>
    <w:p w14:paraId="00000275" w14:textId="77777777" w:rsidR="00D84B93" w:rsidRDefault="00D84B93">
      <w:pPr>
        <w:rPr>
          <w:sz w:val="2"/>
          <w:szCs w:val="2"/>
        </w:rPr>
      </w:pPr>
    </w:p>
    <w:p w14:paraId="00000276" w14:textId="77777777" w:rsidR="00D84B93" w:rsidRDefault="00AC6398">
      <w:pPr>
        <w:pStyle w:val="Heading1"/>
      </w:pPr>
      <w:bookmarkStart w:id="88" w:name="_Toc207390357"/>
      <w:r>
        <w:t>7. RECOMMENDATIONS</w:t>
      </w:r>
      <w:bookmarkEnd w:id="88"/>
    </w:p>
    <w:p w14:paraId="00000277" w14:textId="1B900845" w:rsidR="00D84B93" w:rsidRDefault="0D1A4D27">
      <w:r>
        <w:t>This section outlines actionable steps to strengthen community development planning and governance across Biu, Guyuk, and Kwaya Kusar LGAs. The recommendations focus on improving participation, accountability, service delivery, and risk mitigation, with an emphasis on inclusive and locally appropriate solutions.</w:t>
      </w:r>
    </w:p>
    <w:p w14:paraId="00000278" w14:textId="77777777" w:rsidR="00D84B93" w:rsidRDefault="00AC6398">
      <w:pPr>
        <w:pStyle w:val="Heading2"/>
      </w:pPr>
      <w:bookmarkStart w:id="89" w:name="_Toc207390358"/>
      <w:r>
        <w:t>7.1 Deepen Inclusive Participation and Representation</w:t>
      </w:r>
      <w:bookmarkEnd w:id="89"/>
    </w:p>
    <w:p w14:paraId="00000279" w14:textId="77777777" w:rsidR="00D84B93" w:rsidRDefault="38B53A14">
      <w:r>
        <w:t>While 68% of Community Action Group (CAG) members are women, only 26% are reported to actively contribute to decision-making. Similarly, youth and persons with disabilities face systemic barriers to inclusion, and participation rates in governance processes remain low across LGAs.</w:t>
      </w:r>
    </w:p>
    <w:p w14:paraId="0000027A" w14:textId="77777777" w:rsidR="00D84B93" w:rsidRDefault="00AC6398">
      <w:pPr>
        <w:numPr>
          <w:ilvl w:val="0"/>
          <w:numId w:val="5"/>
        </w:numPr>
      </w:pPr>
      <w:r>
        <w:t>Enforce minimum participation thresholds for women, youth, returnees, and persons with disabilities in CDP planning and monitoring processes. This should include rotational representation to counter longstanding dominance by older male elites.</w:t>
      </w:r>
    </w:p>
    <w:p w14:paraId="0000027B" w14:textId="77777777" w:rsidR="00D84B93" w:rsidRDefault="00AC6398">
      <w:pPr>
        <w:numPr>
          <w:ilvl w:val="0"/>
          <w:numId w:val="5"/>
        </w:numPr>
      </w:pPr>
      <w:r>
        <w:t>Establish safe, segregated platforms (e.g., youth- or women-only forums) to enable open expression from groups that reported fear of backlash, symbolic involvement, or being ignored during meetings.</w:t>
      </w:r>
    </w:p>
    <w:p w14:paraId="0000027C" w14:textId="77777777" w:rsidR="00D84B93" w:rsidRDefault="00AC6398">
      <w:pPr>
        <w:numPr>
          <w:ilvl w:val="0"/>
          <w:numId w:val="5"/>
        </w:numPr>
      </w:pPr>
      <w:r>
        <w:t>Expand civic education and orientation sessions targeting wards with the lowest participation (notably in Biu and Kwaya Kusar), with local religious and traditional leaders supporting delivery in accessible formats.</w:t>
      </w:r>
    </w:p>
    <w:p w14:paraId="0000027D" w14:textId="77777777" w:rsidR="00D84B93" w:rsidRDefault="00AC6398">
      <w:pPr>
        <w:pStyle w:val="Heading2"/>
      </w:pPr>
      <w:bookmarkStart w:id="90" w:name="_Toc207390359"/>
      <w:r>
        <w:t>7.2 Strengthen Feedback Loops and Local Accountability</w:t>
      </w:r>
      <w:bookmarkEnd w:id="90"/>
    </w:p>
    <w:p w14:paraId="0000027E" w14:textId="2FC28E82" w:rsidR="00D84B93" w:rsidRDefault="00AC6398">
      <w:r>
        <w:t>Only 38% of respondents reported awareness of monitoring mechanisms, and 41% said they had never received any feedback on development plans contributing to distrust and disengagement.</w:t>
      </w:r>
    </w:p>
    <w:p w14:paraId="0000027F" w14:textId="77777777" w:rsidR="00D84B93" w:rsidRDefault="00AC6398">
      <w:pPr>
        <w:numPr>
          <w:ilvl w:val="0"/>
          <w:numId w:val="6"/>
        </w:numPr>
      </w:pPr>
      <w:r>
        <w:t>Develop visible, ward-level progress boards or dashboards showing updates on CDP interventions. These should be maintained jointly by ward leaders and CAG focal points, using local language and visual symbols.</w:t>
      </w:r>
    </w:p>
    <w:p w14:paraId="00000280" w14:textId="4309A86D" w:rsidR="00D84B93" w:rsidRDefault="00AC6398">
      <w:pPr>
        <w:numPr>
          <w:ilvl w:val="0"/>
          <w:numId w:val="6"/>
        </w:numPr>
      </w:pPr>
      <w:r>
        <w:lastRenderedPageBreak/>
        <w:t>Introduce low-tech, community-based feedback channels, such as verbal updates at market days, religious gatherings, or existing women’s/youth group meetings</w:t>
      </w:r>
      <w:r w:rsidR="003E2A3F">
        <w:t xml:space="preserve">, </w:t>
      </w:r>
      <w:r>
        <w:t>especially where literacy levels are low.</w:t>
      </w:r>
    </w:p>
    <w:p w14:paraId="00000281" w14:textId="77777777" w:rsidR="00D84B93" w:rsidRDefault="00AC6398">
      <w:pPr>
        <w:numPr>
          <w:ilvl w:val="0"/>
          <w:numId w:val="6"/>
        </w:numPr>
      </w:pPr>
      <w:r>
        <w:t>Conduct quarterly feedback forums, led by local authorities and supported by civil society actors, to share updates and gather concerns. These should be gender-sensitive and physically accessible.</w:t>
      </w:r>
    </w:p>
    <w:p w14:paraId="00000282" w14:textId="77777777" w:rsidR="00D84B93" w:rsidRDefault="00AC6398">
      <w:pPr>
        <w:pStyle w:val="Heading2"/>
      </w:pPr>
      <w:bookmarkStart w:id="91" w:name="_Toc207390360"/>
      <w:r>
        <w:t>7.3 Reduce Elite Capture and Unequal Power Relations</w:t>
      </w:r>
      <w:bookmarkEnd w:id="91"/>
    </w:p>
    <w:p w14:paraId="00000283" w14:textId="77777777" w:rsidR="00D84B93" w:rsidRDefault="00AC6398">
      <w:r>
        <w:t>Elite capture and gatekeeping were consistently reported across all LGAs. In Kwaya Kusar, 44% of respondents directly linked elite interference to exclusion. Traditional leaders, political actors, and select families were often seen as monopolising opportunities and project access.</w:t>
      </w:r>
    </w:p>
    <w:p w14:paraId="00000284" w14:textId="77777777" w:rsidR="00D84B93" w:rsidRDefault="00AC6398">
      <w:pPr>
        <w:numPr>
          <w:ilvl w:val="0"/>
          <w:numId w:val="7"/>
        </w:numPr>
      </w:pPr>
      <w:r>
        <w:t>Introduce clear, transparent nomination procedures for CDP committee selection and planning forums, with a requirement to document and publicly display participant criteria.</w:t>
      </w:r>
    </w:p>
    <w:p w14:paraId="00000285" w14:textId="703A01B7" w:rsidR="00D84B93" w:rsidRDefault="49E73F6C">
      <w:pPr>
        <w:numPr>
          <w:ilvl w:val="0"/>
          <w:numId w:val="7"/>
        </w:numPr>
      </w:pPr>
      <w:r>
        <w:t>Monitor representation diversity in CDP structures, disaggregated by sex, age, displacement status, and disability and migration status. CSOs should play a supporting role in this oversight, alongside community monitors.</w:t>
      </w:r>
    </w:p>
    <w:p w14:paraId="00000286" w14:textId="04E2DF79" w:rsidR="00D84B93" w:rsidRDefault="00AC6398">
      <w:pPr>
        <w:numPr>
          <w:ilvl w:val="0"/>
          <w:numId w:val="7"/>
        </w:numPr>
      </w:pPr>
      <w:r>
        <w:t>Ensure that all entry meetings and planning processes involve multiple stakeholders</w:t>
      </w:r>
      <w:r w:rsidR="003E2A3F">
        <w:t xml:space="preserve">, </w:t>
      </w:r>
      <w:r>
        <w:t>including women leaders, youth representatives, and IDP delegates</w:t>
      </w:r>
      <w:r w:rsidR="003E2A3F">
        <w:t xml:space="preserve">, </w:t>
      </w:r>
      <w:r>
        <w:t>to limit control by singular power brokers.</w:t>
      </w:r>
    </w:p>
    <w:p w14:paraId="00000287" w14:textId="77777777" w:rsidR="00D84B93" w:rsidRDefault="00AC6398">
      <w:pPr>
        <w:pStyle w:val="Heading2"/>
      </w:pPr>
      <w:bookmarkStart w:id="92" w:name="_Toc207390361"/>
      <w:r>
        <w:t>7.4 Align CDP Priorities with Local Budgeting Processes</w:t>
      </w:r>
      <w:bookmarkEnd w:id="92"/>
    </w:p>
    <w:p w14:paraId="00000288" w14:textId="1BD248D7" w:rsidR="00D84B93" w:rsidRDefault="00AC6398">
      <w:r>
        <w:t>Despite communities identifying 30 priority interventions, 21 of which target vulnerable groups only 4% are currently reflected in LGA budgets. This is due to weak coordination between CDP planning and budgeting systems, as well as lack of follow-through.</w:t>
      </w:r>
    </w:p>
    <w:p w14:paraId="00000289" w14:textId="77777777" w:rsidR="00D84B93" w:rsidRDefault="00AC6398">
      <w:pPr>
        <w:numPr>
          <w:ilvl w:val="0"/>
          <w:numId w:val="8"/>
        </w:numPr>
      </w:pPr>
      <w:r>
        <w:t>Establish ward-level planning-budget harmonisation meetings, co-led by LGA finance officers and CDP committees, to ensure that priorities feed into annual fiscal planning.</w:t>
      </w:r>
    </w:p>
    <w:p w14:paraId="0000028A" w14:textId="77777777" w:rsidR="00D84B93" w:rsidRDefault="00AC6398">
      <w:pPr>
        <w:numPr>
          <w:ilvl w:val="0"/>
          <w:numId w:val="8"/>
        </w:numPr>
      </w:pPr>
      <w:r>
        <w:t>Document costed CDP action plans in each ward with basic financial envelopes. This would support advocacy and allow integration into LGA budget cycles.</w:t>
      </w:r>
    </w:p>
    <w:p w14:paraId="0000028B" w14:textId="77777777" w:rsidR="00D84B93" w:rsidRDefault="00AC6398">
      <w:pPr>
        <w:numPr>
          <w:ilvl w:val="0"/>
          <w:numId w:val="8"/>
        </w:numPr>
      </w:pPr>
      <w:r>
        <w:t>Track the budgeting of CDP-prioritised interventions, with yearly public updates on what was planned versus what was funded. Local councillors and CAGs should be responsible for disclosure.</w:t>
      </w:r>
    </w:p>
    <w:p w14:paraId="0000028C" w14:textId="77777777" w:rsidR="00D84B93" w:rsidRDefault="00AC6398">
      <w:pPr>
        <w:pStyle w:val="Heading2"/>
      </w:pPr>
      <w:bookmarkStart w:id="93" w:name="_Toc207390362"/>
      <w:r>
        <w:t>7.5 Leverage Local Structures for Implementation</w:t>
      </w:r>
      <w:bookmarkEnd w:id="93"/>
    </w:p>
    <w:p w14:paraId="0000028D" w14:textId="77777777" w:rsidR="00D84B93" w:rsidRDefault="00AC6398">
      <w:r>
        <w:t xml:space="preserve">Women’s groups, religious institutions, and youth associations are already active </w:t>
      </w:r>
      <w:proofErr w:type="gramStart"/>
      <w:r>
        <w:t>in service</w:t>
      </w:r>
      <w:proofErr w:type="gramEnd"/>
      <w:r>
        <w:t xml:space="preserve"> delivery and social mediation yet remain underutilised in formal CDP processes.</w:t>
      </w:r>
    </w:p>
    <w:p w14:paraId="0000028E" w14:textId="77777777" w:rsidR="00D84B93" w:rsidRDefault="00AC6398">
      <w:pPr>
        <w:numPr>
          <w:ilvl w:val="0"/>
          <w:numId w:val="9"/>
        </w:numPr>
      </w:pPr>
      <w:r>
        <w:t>Formally engage informal actors as implementing partners, by assigning specific roles to existing women’s groups, youth networks, and religious bodies in CDP follow-up and community mobilisation.</w:t>
      </w:r>
    </w:p>
    <w:p w14:paraId="0000028F" w14:textId="77777777" w:rsidR="00D84B93" w:rsidRDefault="00AC6398">
      <w:pPr>
        <w:numPr>
          <w:ilvl w:val="0"/>
          <w:numId w:val="9"/>
        </w:numPr>
      </w:pPr>
      <w:r>
        <w:lastRenderedPageBreak/>
        <w:t>Promote cross-ward collaboration on common issues (e.g., market access, sanitation, water management), building on successful experiences like joint wrestling competitions or shared community celebrations.</w:t>
      </w:r>
    </w:p>
    <w:p w14:paraId="00000290" w14:textId="77777777" w:rsidR="00D84B93" w:rsidRDefault="00AC6398">
      <w:pPr>
        <w:numPr>
          <w:ilvl w:val="0"/>
          <w:numId w:val="9"/>
        </w:numPr>
      </w:pPr>
      <w:r>
        <w:t>Support existing grassroots initiatives, such as small loans groups (adashe) or church-led livelihood support, with modest seed funding and inclusion in CDP implementation schedules.</w:t>
      </w:r>
    </w:p>
    <w:p w14:paraId="00000291" w14:textId="77777777" w:rsidR="00D84B93" w:rsidRDefault="00AC6398">
      <w:pPr>
        <w:pStyle w:val="Heading2"/>
      </w:pPr>
      <w:bookmarkStart w:id="94" w:name="_Toc207390363"/>
      <w:r>
        <w:t>7.6 Institutionalise Risk Mitigation within CDP Structures</w:t>
      </w:r>
      <w:bookmarkEnd w:id="94"/>
    </w:p>
    <w:p w14:paraId="00000292" w14:textId="77777777" w:rsidR="00D84B93" w:rsidRDefault="00AC6398">
      <w:r>
        <w:t>The report identified multiple risks that may undermine CDP success, including:</w:t>
      </w:r>
    </w:p>
    <w:p w14:paraId="00000293" w14:textId="77777777" w:rsidR="00D84B93" w:rsidRDefault="00AC6398">
      <w:pPr>
        <w:numPr>
          <w:ilvl w:val="0"/>
          <w:numId w:val="10"/>
        </w:numPr>
      </w:pPr>
      <w:r>
        <w:t>Gatekeeping, where individuals or groups selectively control access to planning processes or project benefits.</w:t>
      </w:r>
    </w:p>
    <w:p w14:paraId="00000294" w14:textId="7F9A014D" w:rsidR="00D84B93" w:rsidRDefault="60256C05">
      <w:pPr>
        <w:numPr>
          <w:ilvl w:val="0"/>
          <w:numId w:val="10"/>
        </w:numPr>
      </w:pPr>
      <w:r>
        <w:t>Power struggles, particularly between traditional authorities and political leaders.</w:t>
      </w:r>
    </w:p>
    <w:p w14:paraId="00000295" w14:textId="77777777" w:rsidR="00D84B93" w:rsidRDefault="00AC6398">
      <w:pPr>
        <w:numPr>
          <w:ilvl w:val="0"/>
          <w:numId w:val="10"/>
        </w:numPr>
      </w:pPr>
      <w:r>
        <w:t>Exclusion-related backlash, where marginalised groups disengage from processes they perceive as tokenistic.</w:t>
      </w:r>
    </w:p>
    <w:p w14:paraId="00000296" w14:textId="77777777" w:rsidR="00D84B93" w:rsidRDefault="00AC6398">
      <w:r>
        <w:t>To address these:</w:t>
      </w:r>
    </w:p>
    <w:p w14:paraId="00000297" w14:textId="77777777" w:rsidR="00D84B93" w:rsidRDefault="00AC6398">
      <w:pPr>
        <w:numPr>
          <w:ilvl w:val="0"/>
          <w:numId w:val="11"/>
        </w:numPr>
      </w:pPr>
      <w:r>
        <w:t>Introduce community grievance mechanisms, including designated focal persons in each ward for anonymous complaints, linked to civil society monitors and LGA response teams.</w:t>
      </w:r>
    </w:p>
    <w:p w14:paraId="00000298" w14:textId="49433CB0" w:rsidR="00D84B93" w:rsidRDefault="5B8422A3">
      <w:pPr>
        <w:numPr>
          <w:ilvl w:val="0"/>
          <w:numId w:val="11"/>
        </w:numPr>
      </w:pPr>
      <w:r>
        <w:t>Conduct risk scans during CDP inception in each ward, identifying potential spoilers or tensions and agreeing on mitigation strategies (e.g., neutral venues, shared facilitation).</w:t>
      </w:r>
    </w:p>
    <w:p w14:paraId="00000299" w14:textId="77777777" w:rsidR="00D84B93" w:rsidRDefault="00AC6398">
      <w:pPr>
        <w:numPr>
          <w:ilvl w:val="0"/>
          <w:numId w:val="11"/>
        </w:numPr>
      </w:pPr>
      <w:r>
        <w:t>Train facilitators on local conflict dynamics, drawing on qualitative data from the assessment that shows where past disputes (e.g., over land or representation) have weakened social cohesion.</w:t>
      </w:r>
    </w:p>
    <w:p w14:paraId="0000029A" w14:textId="77777777" w:rsidR="00D84B93" w:rsidRDefault="00AC6398">
      <w:pPr>
        <w:pStyle w:val="Heading2"/>
      </w:pPr>
      <w:bookmarkStart w:id="95" w:name="_Toc207390364"/>
      <w:r>
        <w:t>7.7 Align CDPs with Broader Development Frameworks and Services</w:t>
      </w:r>
      <w:bookmarkEnd w:id="95"/>
    </w:p>
    <w:p w14:paraId="0000029B" w14:textId="77777777" w:rsidR="00D84B93" w:rsidRDefault="00AC6398">
      <w:r>
        <w:t>Across the LGAs, communities identified critical gaps in access to education, health, water, roads, and markets. However, CDPs often lack direct links to these sectoral services.</w:t>
      </w:r>
    </w:p>
    <w:p w14:paraId="0000029C" w14:textId="77777777" w:rsidR="00D84B93" w:rsidRDefault="00AC6398">
      <w:pPr>
        <w:numPr>
          <w:ilvl w:val="0"/>
          <w:numId w:val="12"/>
        </w:numPr>
      </w:pPr>
      <w:r>
        <w:t>Ensure that sector-specific needs (e.g., WASH, education, health) identified in CDPs are forwarded to relevant LGA departments, with formal referrals and follow-up timelines.</w:t>
      </w:r>
    </w:p>
    <w:p w14:paraId="0000029D" w14:textId="77777777" w:rsidR="00D84B93" w:rsidRDefault="00AC6398">
      <w:pPr>
        <w:numPr>
          <w:ilvl w:val="0"/>
          <w:numId w:val="12"/>
        </w:numPr>
      </w:pPr>
      <w:r>
        <w:t>Include service access indicators (e.g., number of working boreholes or functional classrooms) in CDP monitoring frameworks to track change.</w:t>
      </w:r>
    </w:p>
    <w:p w14:paraId="0000029E" w14:textId="6D316868" w:rsidR="00B62610" w:rsidRDefault="00AC6398">
      <w:pPr>
        <w:numPr>
          <w:ilvl w:val="0"/>
          <w:numId w:val="12"/>
        </w:numPr>
      </w:pPr>
      <w:r>
        <w:t>Coordinate CDP reviews with other planning cycles, such as LGA budget reviews or donor-supported infrastructure projects, to leverage resources and avoid duplication.</w:t>
      </w:r>
    </w:p>
    <w:p w14:paraId="498422A1" w14:textId="337E9BD5" w:rsidR="00D84B93" w:rsidRDefault="00B62610" w:rsidP="008D45EE">
      <w:pPr>
        <w:pStyle w:val="Heading1"/>
      </w:pPr>
      <w:r>
        <w:br w:type="page"/>
      </w:r>
      <w:bookmarkStart w:id="96" w:name="_Toc207390365"/>
      <w:r>
        <w:lastRenderedPageBreak/>
        <w:t>References</w:t>
      </w:r>
      <w:bookmarkEnd w:id="96"/>
      <w:r>
        <w:t xml:space="preserve"> </w:t>
      </w:r>
    </w:p>
    <w:p w14:paraId="682F528F" w14:textId="77777777"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Agora Policy. (2024). </w:t>
      </w:r>
      <w:r w:rsidRPr="008D45EE">
        <w:rPr>
          <w:rStyle w:val="Emphasis"/>
          <w:rFonts w:ascii="Garamond" w:hAnsi="Garamond"/>
          <w:sz w:val="22"/>
          <w:szCs w:val="22"/>
        </w:rPr>
        <w:t>Despite recent progress, Nigeria needs more action on disability inclusion</w:t>
      </w:r>
      <w:r w:rsidRPr="008D45EE">
        <w:rPr>
          <w:rFonts w:ascii="Garamond" w:hAnsi="Garamond"/>
          <w:sz w:val="22"/>
          <w:szCs w:val="22"/>
        </w:rPr>
        <w:t xml:space="preserve">. </w:t>
      </w:r>
      <w:hyperlink r:id="rId40" w:tgtFrame="_new" w:history="1">
        <w:r w:rsidRPr="008D45EE">
          <w:rPr>
            <w:rStyle w:val="Hyperlink"/>
            <w:rFonts w:ascii="Garamond" w:hAnsi="Garamond"/>
            <w:sz w:val="22"/>
            <w:szCs w:val="22"/>
          </w:rPr>
          <w:t>https://agorapolicy.org/research/policy-platform/210-despite-recent-progress-nigeria-needs-more-action-on-disability-inclusion.html</w:t>
        </w:r>
      </w:hyperlink>
    </w:p>
    <w:p w14:paraId="7A7F2591" w14:textId="5D9FF1F9"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Adamawa State Government. (2021). </w:t>
      </w:r>
      <w:r w:rsidRPr="008D45EE">
        <w:rPr>
          <w:rStyle w:val="Emphasis"/>
          <w:rFonts w:ascii="Garamond" w:hAnsi="Garamond"/>
          <w:sz w:val="22"/>
          <w:szCs w:val="22"/>
        </w:rPr>
        <w:t>Community engagement and peacebuilding policy (CEPP)</w:t>
      </w:r>
      <w:r w:rsidRPr="008D45EE">
        <w:rPr>
          <w:rFonts w:ascii="Garamond" w:hAnsi="Garamond"/>
          <w:sz w:val="22"/>
          <w:szCs w:val="22"/>
        </w:rPr>
        <w:t xml:space="preserve">. Ministry of Internal Security and Emergency Management. </w:t>
      </w:r>
      <w:hyperlink r:id="rId41" w:tgtFrame="_new" w:history="1">
        <w:r w:rsidR="009F1F16">
          <w:rPr>
            <w:rStyle w:val="Hyperlink"/>
            <w:rFonts w:ascii="Garamond" w:hAnsi="Garamond"/>
            <w:sz w:val="22"/>
            <w:szCs w:val="22"/>
          </w:rPr>
          <w:t>https://adspc.ad.gov.ng/wp-content/uploads/2024/01/Signed-Adamawa-State-CEPP-Policy.pdf</w:t>
        </w:r>
      </w:hyperlink>
    </w:p>
    <w:p w14:paraId="7AD121E9" w14:textId="19BD5CB8"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Borno State Government. (2020). </w:t>
      </w:r>
      <w:r w:rsidRPr="008D45EE">
        <w:rPr>
          <w:rStyle w:val="Emphasis"/>
          <w:rFonts w:ascii="Garamond" w:hAnsi="Garamond"/>
          <w:sz w:val="22"/>
          <w:szCs w:val="22"/>
        </w:rPr>
        <w:t>25-year development framework and 10-year strategic transformation plan (2020–2030)</w:t>
      </w:r>
      <w:r w:rsidRPr="008D45EE">
        <w:rPr>
          <w:rFonts w:ascii="Garamond" w:hAnsi="Garamond"/>
          <w:sz w:val="22"/>
          <w:szCs w:val="22"/>
        </w:rPr>
        <w:t xml:space="preserve">. Ministry of Budget and Planning. </w:t>
      </w:r>
      <w:hyperlink r:id="rId42" w:tgtFrame="_new" w:history="1">
        <w:r w:rsidR="00AA6727">
          <w:rPr>
            <w:rStyle w:val="Hyperlink"/>
            <w:rFonts w:ascii="Garamond" w:hAnsi="Garamond"/>
            <w:sz w:val="22"/>
            <w:szCs w:val="22"/>
          </w:rPr>
          <w:t>https://acsdhr.bo.gov.ng/bosdp/overview%20of%20borno%20state's%2025%20year%20development%20frame%20&amp;%2010%20years%20strategic%20transformation%20plan.pdf</w:t>
        </w:r>
      </w:hyperlink>
    </w:p>
    <w:p w14:paraId="440ED9C3" w14:textId="24D91393"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Borno State Primary Health Care Development Agency. (2023). </w:t>
      </w:r>
      <w:r w:rsidRPr="008D45EE">
        <w:rPr>
          <w:rStyle w:val="Emphasis"/>
          <w:rFonts w:ascii="Garamond" w:hAnsi="Garamond"/>
          <w:sz w:val="22"/>
          <w:szCs w:val="22"/>
        </w:rPr>
        <w:t>Annual health facility performance report</w:t>
      </w:r>
      <w:r w:rsidRPr="008D45EE">
        <w:rPr>
          <w:rFonts w:ascii="Garamond" w:hAnsi="Garamond"/>
          <w:sz w:val="22"/>
          <w:szCs w:val="22"/>
        </w:rPr>
        <w:t xml:space="preserve">. </w:t>
      </w:r>
    </w:p>
    <w:p w14:paraId="08C4D9E5" w14:textId="77777777"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BMZ. (2025). </w:t>
      </w:r>
      <w:r w:rsidRPr="008D45EE">
        <w:rPr>
          <w:rStyle w:val="Emphasis"/>
          <w:rFonts w:ascii="Garamond" w:hAnsi="Garamond"/>
          <w:sz w:val="22"/>
          <w:szCs w:val="22"/>
        </w:rPr>
        <w:t>Resilience and social cohesion programme in northeast Nigeria: Project overview</w:t>
      </w:r>
      <w:r w:rsidRPr="008D45EE">
        <w:rPr>
          <w:rFonts w:ascii="Garamond" w:hAnsi="Garamond"/>
          <w:sz w:val="22"/>
          <w:szCs w:val="22"/>
        </w:rPr>
        <w:t xml:space="preserve">. Federal Ministry for Economic Cooperation and Development. </w:t>
      </w:r>
      <w:hyperlink r:id="rId43" w:tgtFrame="_new" w:history="1">
        <w:r w:rsidRPr="008D45EE">
          <w:rPr>
            <w:rStyle w:val="Hyperlink"/>
            <w:rFonts w:ascii="Garamond" w:hAnsi="Garamond"/>
            <w:sz w:val="22"/>
            <w:szCs w:val="22"/>
          </w:rPr>
          <w:t>https://www.bmz.de/en/countries/nigeria/resilience-social-cohesion-programme-125612</w:t>
        </w:r>
      </w:hyperlink>
    </w:p>
    <w:p w14:paraId="02E7E7AF" w14:textId="31D425AC"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Federal Ministry of Finance, Budget and National Planning. (2021). </w:t>
      </w:r>
      <w:r w:rsidRPr="008D45EE">
        <w:rPr>
          <w:rStyle w:val="Emphasis"/>
          <w:rFonts w:ascii="Garamond" w:hAnsi="Garamond"/>
          <w:sz w:val="22"/>
          <w:szCs w:val="22"/>
        </w:rPr>
        <w:t>National development plan (2021–2025)</w:t>
      </w:r>
      <w:r w:rsidRPr="008D45EE">
        <w:rPr>
          <w:rFonts w:ascii="Garamond" w:hAnsi="Garamond"/>
          <w:sz w:val="22"/>
          <w:szCs w:val="22"/>
        </w:rPr>
        <w:t xml:space="preserve">. </w:t>
      </w:r>
      <w:hyperlink r:id="rId44" w:tgtFrame="_new" w:history="1">
        <w:r w:rsidR="00D05D41">
          <w:rPr>
            <w:rStyle w:val="Hyperlink"/>
            <w:rFonts w:ascii="Garamond" w:hAnsi="Garamond"/>
            <w:sz w:val="22"/>
            <w:szCs w:val="22"/>
          </w:rPr>
          <w:t>https://nationalplanning.gov.ng/wp-content/uploads/2021/12/NDP-2021-2025_AA_FINAL_PRINTING.pdf</w:t>
        </w:r>
      </w:hyperlink>
    </w:p>
    <w:p w14:paraId="15AFCE9D" w14:textId="77777777" w:rsidR="00B62610" w:rsidRPr="00CC0784" w:rsidRDefault="00B62610" w:rsidP="008D45EE">
      <w:pPr>
        <w:pStyle w:val="NormalWeb"/>
        <w:numPr>
          <w:ilvl w:val="0"/>
          <w:numId w:val="21"/>
        </w:numPr>
        <w:jc w:val="left"/>
        <w:rPr>
          <w:rFonts w:ascii="Garamond" w:hAnsi="Garamond"/>
          <w:sz w:val="22"/>
          <w:szCs w:val="22"/>
          <w:lang w:val="fr-CA"/>
        </w:rPr>
      </w:pPr>
      <w:r w:rsidRPr="008D45EE">
        <w:rPr>
          <w:rFonts w:ascii="Garamond" w:hAnsi="Garamond"/>
          <w:sz w:val="22"/>
          <w:szCs w:val="22"/>
        </w:rPr>
        <w:t xml:space="preserve">GIZ. (2020). </w:t>
      </w:r>
      <w:r w:rsidRPr="008D45EE">
        <w:rPr>
          <w:rStyle w:val="Emphasis"/>
          <w:rFonts w:ascii="Garamond" w:hAnsi="Garamond"/>
          <w:sz w:val="22"/>
          <w:szCs w:val="22"/>
        </w:rPr>
        <w:t>Strengthening resilience and social cohesion in North-East Nigeria</w:t>
      </w:r>
      <w:r w:rsidRPr="008D45EE">
        <w:rPr>
          <w:rFonts w:ascii="Garamond" w:hAnsi="Garamond"/>
          <w:sz w:val="22"/>
          <w:szCs w:val="22"/>
        </w:rPr>
        <w:t xml:space="preserve">. </w:t>
      </w:r>
      <w:r w:rsidRPr="00CC0784">
        <w:rPr>
          <w:rFonts w:ascii="Garamond" w:hAnsi="Garamond"/>
          <w:sz w:val="22"/>
          <w:szCs w:val="22"/>
          <w:lang w:val="fr-CA"/>
        </w:rPr>
        <w:t xml:space="preserve">Deutsche Gesellschaft für Internationale Zusammenarbeit. </w:t>
      </w:r>
      <w:hyperlink r:id="rId45" w:tgtFrame="_new" w:history="1">
        <w:r w:rsidRPr="00CC0784">
          <w:rPr>
            <w:rStyle w:val="Hyperlink"/>
            <w:rFonts w:ascii="Garamond" w:hAnsi="Garamond"/>
            <w:sz w:val="22"/>
            <w:szCs w:val="22"/>
            <w:lang w:val="fr-CA"/>
          </w:rPr>
          <w:t>https://www.giz.de/en/worldwide/137651.html</w:t>
        </w:r>
      </w:hyperlink>
    </w:p>
    <w:p w14:paraId="14960CB2" w14:textId="31D15FDD"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Nigeria Community and Social Development Project. (2023). </w:t>
      </w:r>
      <w:r w:rsidRPr="008D45EE">
        <w:rPr>
          <w:rStyle w:val="Emphasis"/>
          <w:rFonts w:ascii="Garamond" w:hAnsi="Garamond"/>
          <w:sz w:val="22"/>
          <w:szCs w:val="22"/>
        </w:rPr>
        <w:t>Mid-term review report on infrastructure and livelihood outcomes</w:t>
      </w:r>
      <w:r w:rsidRPr="008D45EE">
        <w:rPr>
          <w:rFonts w:ascii="Garamond" w:hAnsi="Garamond"/>
          <w:sz w:val="22"/>
          <w:szCs w:val="22"/>
        </w:rPr>
        <w:t xml:space="preserve">. National CSDP Office. </w:t>
      </w:r>
    </w:p>
    <w:p w14:paraId="5B71C0DC" w14:textId="724854DD" w:rsidR="00B62610" w:rsidRPr="008D45EE" w:rsidRDefault="00B62610" w:rsidP="008D45EE">
      <w:pPr>
        <w:pStyle w:val="NormalWeb"/>
        <w:numPr>
          <w:ilvl w:val="0"/>
          <w:numId w:val="21"/>
        </w:numPr>
        <w:jc w:val="left"/>
        <w:rPr>
          <w:rFonts w:ascii="Garamond" w:hAnsi="Garamond"/>
          <w:sz w:val="22"/>
          <w:szCs w:val="22"/>
        </w:rPr>
      </w:pPr>
      <w:r w:rsidRPr="008D45EE">
        <w:rPr>
          <w:rFonts w:ascii="Garamond" w:hAnsi="Garamond"/>
          <w:sz w:val="22"/>
          <w:szCs w:val="22"/>
        </w:rPr>
        <w:t xml:space="preserve">OCHA. (2023). </w:t>
      </w:r>
      <w:r w:rsidRPr="008D45EE">
        <w:rPr>
          <w:rStyle w:val="Emphasis"/>
          <w:rFonts w:ascii="Garamond" w:hAnsi="Garamond"/>
          <w:sz w:val="22"/>
          <w:szCs w:val="22"/>
        </w:rPr>
        <w:t>Nigeria humanitarian response plan 2023</w:t>
      </w:r>
      <w:r w:rsidRPr="008D45EE">
        <w:rPr>
          <w:rFonts w:ascii="Garamond" w:hAnsi="Garamond"/>
          <w:sz w:val="22"/>
          <w:szCs w:val="22"/>
        </w:rPr>
        <w:t xml:space="preserve">. United Nations Office for the Coordination of Humanitarian Affairs. </w:t>
      </w:r>
    </w:p>
    <w:p w14:paraId="1B2CFC8B" w14:textId="46C4DA83" w:rsidR="00B62610" w:rsidRPr="008D45EE" w:rsidRDefault="00B62610" w:rsidP="008D45EE">
      <w:pPr>
        <w:pStyle w:val="NormalWeb"/>
        <w:numPr>
          <w:ilvl w:val="0"/>
          <w:numId w:val="21"/>
        </w:numPr>
        <w:jc w:val="left"/>
        <w:rPr>
          <w:sz w:val="22"/>
          <w:szCs w:val="22"/>
        </w:rPr>
      </w:pPr>
      <w:r w:rsidRPr="008D45EE">
        <w:rPr>
          <w:rFonts w:ascii="Garamond" w:hAnsi="Garamond"/>
          <w:sz w:val="22"/>
          <w:szCs w:val="22"/>
        </w:rPr>
        <w:t xml:space="preserve">UNDP. (2025). </w:t>
      </w:r>
      <w:r w:rsidRPr="008D45EE">
        <w:rPr>
          <w:rStyle w:val="Emphasis"/>
          <w:rFonts w:ascii="Garamond" w:hAnsi="Garamond"/>
          <w:sz w:val="22"/>
          <w:szCs w:val="22"/>
        </w:rPr>
        <w:t>Strengthening centres of government in fragile and conflict-affected settings: Policy note</w:t>
      </w:r>
      <w:r w:rsidRPr="008D45EE">
        <w:rPr>
          <w:rFonts w:ascii="Garamond" w:hAnsi="Garamond"/>
          <w:sz w:val="22"/>
          <w:szCs w:val="22"/>
        </w:rPr>
        <w:t xml:space="preserve">. United Nations Development Programme. </w:t>
      </w:r>
      <w:hyperlink r:id="rId46" w:tgtFrame="_new" w:history="1">
        <w:r w:rsidRPr="008D45EE">
          <w:rPr>
            <w:rStyle w:val="Hyperlink"/>
            <w:rFonts w:ascii="Garamond" w:hAnsi="Garamond"/>
            <w:sz w:val="22"/>
            <w:szCs w:val="22"/>
          </w:rPr>
          <w:t>https://www.undp.org/publications/strengthening-centres-government-fragile-and-conflict-affected-settings</w:t>
        </w:r>
      </w:hyperlink>
    </w:p>
    <w:sectPr w:rsidR="00B62610" w:rsidRPr="008D45EE">
      <w:footerReference w:type="default" r:id="rId47"/>
      <w:headerReference w:type="first" r:id="rId48"/>
      <w:pgSz w:w="11906" w:h="16838"/>
      <w:pgMar w:top="1440" w:right="1440" w:bottom="1440" w:left="1440" w:header="708" w:footer="27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002C8" w14:textId="77777777" w:rsidR="000A10BD" w:rsidRDefault="000A10BD">
      <w:pPr>
        <w:spacing w:after="0" w:line="240" w:lineRule="auto"/>
      </w:pPr>
      <w:r>
        <w:separator/>
      </w:r>
    </w:p>
  </w:endnote>
  <w:endnote w:type="continuationSeparator" w:id="0">
    <w:p w14:paraId="57E1A11E" w14:textId="77777777" w:rsidR="000A10BD" w:rsidRDefault="000A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229151C2-4A69-4440-8B03-E73BF53FFD16}"/>
    <w:embedBold r:id="rId2" w:fontKey="{F274DD08-5491-4A7D-AEFC-09A1403E43C1}"/>
    <w:embedItalic r:id="rId3" w:fontKey="{1B26C476-E340-4120-AA43-A8B751BF73FF}"/>
    <w:embedBoldItalic r:id="rId4" w:fontKey="{79CC41F8-6D95-4E7F-8F1B-A2BECB044361}"/>
  </w:font>
  <w:font w:name="Aptos">
    <w:charset w:val="00"/>
    <w:family w:val="swiss"/>
    <w:pitch w:val="variable"/>
    <w:sig w:usb0="20000287" w:usb1="00000003" w:usb2="00000000" w:usb3="00000000" w:csb0="0000019F" w:csb1="00000000"/>
    <w:embedRegular r:id="rId5" w:fontKey="{BD3B673D-BBAE-4262-8BF0-6236D996C089}"/>
    <w:embedBold r:id="rId6" w:fontKey="{F2203CCF-22A2-4372-8C72-331932BC6EDD}"/>
    <w:embedItalic r:id="rId7" w:fontKey="{0BD8A2D1-5744-4D1B-AA04-2BD40BE131D6}"/>
  </w:font>
  <w:font w:name="Georgia">
    <w:panose1 w:val="02040502050405020303"/>
    <w:charset w:val="00"/>
    <w:family w:val="roman"/>
    <w:pitch w:val="variable"/>
    <w:sig w:usb0="00000287" w:usb1="00000000" w:usb2="00000000" w:usb3="00000000" w:csb0="0000009F" w:csb1="00000000"/>
    <w:embedRegular r:id="rId8" w:fontKey="{BA56CFE7-7711-462D-BB49-72E77A633DFF}"/>
    <w:embedItalic r:id="rId9" w:fontKey="{45CF3B67-7CBC-4663-8C83-A66CA1C372A2}"/>
  </w:font>
  <w:font w:name="Verdana">
    <w:panose1 w:val="020B0604030504040204"/>
    <w:charset w:val="00"/>
    <w:family w:val="swiss"/>
    <w:pitch w:val="variable"/>
    <w:sig w:usb0="A00006FF" w:usb1="4000205B" w:usb2="00000010" w:usb3="00000000" w:csb0="0000019F" w:csb1="00000000"/>
    <w:embedRegular r:id="rId10" w:fontKey="{2DFC6301-E06F-4E12-8F0F-7D687F8863AC}"/>
  </w:font>
  <w:font w:name="Segoe UI">
    <w:panose1 w:val="020B0502040204020203"/>
    <w:charset w:val="00"/>
    <w:family w:val="swiss"/>
    <w:pitch w:val="variable"/>
    <w:sig w:usb0="E4002EFF" w:usb1="C000E47F" w:usb2="00000009" w:usb3="00000000" w:csb0="000001FF" w:csb1="00000000"/>
    <w:embedRegular r:id="rId11" w:fontKey="{8814A4CB-D6E7-4742-8814-511115FD3A6F}"/>
  </w:font>
  <w:font w:name="Calibri Light">
    <w:panose1 w:val="020F0302020204030204"/>
    <w:charset w:val="00"/>
    <w:family w:val="swiss"/>
    <w:pitch w:val="variable"/>
    <w:sig w:usb0="E4002EFF" w:usb1="C000247B" w:usb2="00000009" w:usb3="00000000" w:csb0="000001FF" w:csb1="00000000"/>
    <w:embedRegular r:id="rId12" w:fontKey="{74FFB7D8-9AE8-46F4-B750-F7571B8C117D}"/>
  </w:font>
  <w:font w:name="Calibri">
    <w:panose1 w:val="020F0502020204030204"/>
    <w:charset w:val="00"/>
    <w:family w:val="swiss"/>
    <w:pitch w:val="variable"/>
    <w:sig w:usb0="E4002EFF" w:usb1="C000247B" w:usb2="00000009" w:usb3="00000000" w:csb0="000001FF" w:csb1="00000000"/>
    <w:embedRegular r:id="rId13" w:fontKey="{C0AC389F-FC0B-440D-BBC3-9226A534FF1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5632" w14:textId="77777777" w:rsidR="009C3983" w:rsidRDefault="009C3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7D0" w14:textId="6FACF35E" w:rsidR="009C3983" w:rsidRDefault="009C398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254F">
      <w:rPr>
        <w:noProof/>
        <w:color w:val="000000"/>
      </w:rPr>
      <w:t>42</w:t>
    </w:r>
    <w:r>
      <w:rPr>
        <w:color w:val="000000"/>
      </w:rPr>
      <w:fldChar w:fldCharType="end"/>
    </w:r>
  </w:p>
  <w:p w14:paraId="632D3557" w14:textId="77777777" w:rsidR="009C3983" w:rsidRDefault="009C398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E104" w14:textId="77777777" w:rsidR="009C3983" w:rsidRDefault="009C39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5" w14:textId="0D8A1B7E" w:rsidR="009C3983" w:rsidRDefault="009C398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254F">
      <w:rPr>
        <w:noProof/>
        <w:color w:val="000000"/>
      </w:rPr>
      <w:t>1</w:t>
    </w:r>
    <w:r>
      <w:rPr>
        <w:color w:val="000000"/>
      </w:rPr>
      <w:fldChar w:fldCharType="end"/>
    </w:r>
  </w:p>
  <w:p w14:paraId="000002A6" w14:textId="77777777" w:rsidR="009C3983" w:rsidRDefault="009C398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AD1B1" w14:textId="77777777" w:rsidR="000A10BD" w:rsidRDefault="000A10BD">
      <w:pPr>
        <w:spacing w:after="0" w:line="240" w:lineRule="auto"/>
      </w:pPr>
      <w:r>
        <w:separator/>
      </w:r>
    </w:p>
  </w:footnote>
  <w:footnote w:type="continuationSeparator" w:id="0">
    <w:p w14:paraId="690BAB24" w14:textId="77777777" w:rsidR="000A10BD" w:rsidRDefault="000A10BD">
      <w:pPr>
        <w:spacing w:after="0" w:line="240" w:lineRule="auto"/>
      </w:pPr>
      <w:r>
        <w:continuationSeparator/>
      </w:r>
    </w:p>
  </w:footnote>
  <w:footnote w:id="1">
    <w:p w14:paraId="41115CDD" w14:textId="77777777" w:rsidR="009C3983" w:rsidRDefault="009C3983" w:rsidP="007C6A05">
      <w:pPr>
        <w:pBdr>
          <w:top w:val="nil"/>
          <w:left w:val="nil"/>
          <w:bottom w:val="nil"/>
          <w:right w:val="nil"/>
          <w:between w:val="nil"/>
        </w:pBdr>
        <w:spacing w:before="1" w:after="0" w:line="240" w:lineRule="auto"/>
        <w:ind w:left="220" w:right="353"/>
        <w:rPr>
          <w:rFonts w:ascii="Verdana" w:eastAsia="Verdana" w:hAnsi="Verdana" w:cs="Verdana"/>
          <w:color w:val="000000"/>
          <w:sz w:val="20"/>
          <w:szCs w:val="20"/>
        </w:rPr>
      </w:pPr>
      <w:r>
        <w:rPr>
          <w:rStyle w:val="FootnoteReference"/>
        </w:rPr>
        <w:footnoteRef/>
      </w:r>
      <w:r>
        <w:rPr>
          <w:rFonts w:ascii="Verdana" w:eastAsia="Verdana" w:hAnsi="Verdana" w:cs="Verdana"/>
          <w:color w:val="000000"/>
          <w:sz w:val="20"/>
          <w:szCs w:val="20"/>
        </w:rPr>
        <w:t xml:space="preserve"> </w:t>
      </w:r>
      <w:hyperlink r:id="rId1">
        <w:r>
          <w:rPr>
            <w:color w:val="0563C1"/>
            <w:sz w:val="22"/>
            <w:szCs w:val="22"/>
            <w:u w:val="single"/>
          </w:rPr>
          <w:t>https://dtm.iom.int/datasets/nigeria-site-assessment-round-46-north-east-idps</w:t>
        </w:r>
      </w:hyperlink>
      <w:r>
        <w:rPr>
          <w:rFonts w:ascii="Verdana" w:eastAsia="Verdana" w:hAnsi="Verdana" w:cs="Verdana"/>
          <w:color w:val="000000"/>
          <w:sz w:val="22"/>
          <w:szCs w:val="22"/>
        </w:rPr>
        <w:t xml:space="preserve"> </w:t>
      </w:r>
    </w:p>
  </w:footnote>
  <w:footnote w:id="2">
    <w:p w14:paraId="5224640C" w14:textId="77777777" w:rsidR="009C3983" w:rsidRDefault="009C3983" w:rsidP="007C6A05">
      <w:pPr>
        <w:pBdr>
          <w:top w:val="nil"/>
          <w:left w:val="nil"/>
          <w:bottom w:val="nil"/>
          <w:right w:val="nil"/>
          <w:between w:val="nil"/>
        </w:pBdr>
        <w:spacing w:before="1" w:after="0" w:line="240" w:lineRule="auto"/>
        <w:ind w:left="220" w:right="353"/>
        <w:rPr>
          <w:rFonts w:ascii="Verdana" w:eastAsia="Verdana" w:hAnsi="Verdana" w:cs="Verdana"/>
          <w:color w:val="000000"/>
          <w:sz w:val="20"/>
          <w:szCs w:val="20"/>
        </w:rPr>
      </w:pPr>
      <w:r>
        <w:rPr>
          <w:rStyle w:val="FootnoteReference"/>
        </w:rPr>
        <w:footnoteRef/>
      </w:r>
      <w:r>
        <w:rPr>
          <w:rFonts w:ascii="Verdana" w:eastAsia="Verdana" w:hAnsi="Verdana" w:cs="Verdana"/>
          <w:color w:val="000000"/>
          <w:sz w:val="20"/>
          <w:szCs w:val="20"/>
        </w:rPr>
        <w:t xml:space="preserve"> </w:t>
      </w:r>
      <w:hyperlink r:id="rId2">
        <w:r>
          <w:rPr>
            <w:color w:val="0563C1"/>
            <w:sz w:val="20"/>
            <w:szCs w:val="20"/>
            <w:u w:val="single"/>
          </w:rPr>
          <w:t>https://adspc.ad.gov.ng/wp-content/uploads/2024/01/Signed-Adamawa-State-CEPP-Policy.pdf</w:t>
        </w:r>
      </w:hyperlink>
      <w:r>
        <w:rPr>
          <w:rFonts w:ascii="Verdana" w:eastAsia="Verdana" w:hAnsi="Verdana" w:cs="Verdana"/>
          <w:color w:val="000000"/>
          <w:sz w:val="20"/>
          <w:szCs w:val="20"/>
        </w:rPr>
        <w:t xml:space="preserve"> </w:t>
      </w:r>
    </w:p>
  </w:footnote>
  <w:footnote w:id="3">
    <w:p w14:paraId="000002A1" w14:textId="77777777" w:rsidR="009C3983" w:rsidRDefault="009C3983">
      <w:pPr>
        <w:pBdr>
          <w:top w:val="nil"/>
          <w:left w:val="nil"/>
          <w:bottom w:val="nil"/>
          <w:right w:val="nil"/>
          <w:between w:val="nil"/>
        </w:pBdr>
        <w:spacing w:before="1" w:after="0" w:line="240" w:lineRule="auto"/>
        <w:ind w:left="220" w:right="353"/>
        <w:rPr>
          <w:rFonts w:ascii="Verdana" w:eastAsia="Verdana" w:hAnsi="Verdana" w:cs="Verdana"/>
          <w:color w:val="000000"/>
          <w:sz w:val="20"/>
          <w:szCs w:val="20"/>
        </w:rPr>
      </w:pPr>
      <w:r>
        <w:rPr>
          <w:rStyle w:val="FootnoteReference"/>
        </w:rPr>
        <w:footnoteRef/>
      </w:r>
      <w:r>
        <w:rPr>
          <w:rFonts w:ascii="Verdana" w:eastAsia="Verdana" w:hAnsi="Verdana" w:cs="Verdana"/>
          <w:color w:val="000000"/>
          <w:sz w:val="20"/>
          <w:szCs w:val="20"/>
        </w:rPr>
        <w:t xml:space="preserve"> </w:t>
      </w:r>
      <w:hyperlink r:id="rId3">
        <w:r>
          <w:rPr>
            <w:color w:val="0563C1"/>
            <w:sz w:val="20"/>
            <w:szCs w:val="20"/>
            <w:u w:val="single"/>
          </w:rPr>
          <w:t>https://journals.sagepub.com/doi/10.1177/1098214010373646</w:t>
        </w:r>
      </w:hyperlink>
      <w:r>
        <w:rPr>
          <w:color w:val="000000"/>
          <w:sz w:val="20"/>
          <w:szCs w:val="20"/>
        </w:rPr>
        <w:t xml:space="preserve"> </w:t>
      </w:r>
    </w:p>
  </w:footnote>
  <w:footnote w:id="4">
    <w:p w14:paraId="000002A2" w14:textId="77777777" w:rsidR="009C3983" w:rsidRDefault="009C3983">
      <w:pPr>
        <w:pBdr>
          <w:top w:val="nil"/>
          <w:left w:val="nil"/>
          <w:bottom w:val="nil"/>
          <w:right w:val="nil"/>
          <w:between w:val="nil"/>
        </w:pBdr>
        <w:spacing w:before="1" w:after="0" w:line="240" w:lineRule="auto"/>
        <w:ind w:left="220" w:right="353"/>
        <w:rPr>
          <w:rFonts w:ascii="Verdana" w:eastAsia="Verdana" w:hAnsi="Verdana" w:cs="Verdana"/>
          <w:color w:val="000000"/>
          <w:sz w:val="20"/>
          <w:szCs w:val="20"/>
        </w:rPr>
      </w:pPr>
      <w:r>
        <w:rPr>
          <w:rStyle w:val="FootnoteReference"/>
        </w:rPr>
        <w:footnoteRef/>
      </w:r>
      <w:r>
        <w:rPr>
          <w:rFonts w:ascii="Verdana" w:eastAsia="Verdana" w:hAnsi="Verdana" w:cs="Verdana"/>
          <w:color w:val="000000"/>
          <w:sz w:val="20"/>
          <w:szCs w:val="20"/>
        </w:rPr>
        <w:t xml:space="preserve"> </w:t>
      </w:r>
      <w:hyperlink r:id="rId4">
        <w:r>
          <w:rPr>
            <w:color w:val="0563C1"/>
            <w:sz w:val="20"/>
            <w:szCs w:val="20"/>
            <w:u w:val="single"/>
          </w:rPr>
          <w:t>https://collegepublishing.sagepub.com/products/designing-and-conducting-mixed-methods-research-3-241842</w:t>
        </w:r>
      </w:hyperlink>
      <w:r>
        <w:rPr>
          <w:color w:val="000000"/>
          <w:sz w:val="20"/>
          <w:szCs w:val="20"/>
        </w:rPr>
        <w:t xml:space="preserve"> </w:t>
      </w:r>
    </w:p>
  </w:footnote>
  <w:footnote w:id="5">
    <w:p w14:paraId="38C28E66" w14:textId="7DCDA549" w:rsidR="009C3983" w:rsidRPr="00122A88" w:rsidRDefault="009C3983">
      <w:pPr>
        <w:pStyle w:val="FootnoteText"/>
        <w:rPr>
          <w:lang w:val="en-US"/>
        </w:rPr>
      </w:pPr>
      <w:r>
        <w:rPr>
          <w:rStyle w:val="FootnoteReference"/>
        </w:rPr>
        <w:footnoteRef/>
      </w:r>
      <w:r>
        <w:t xml:space="preserve"> </w:t>
      </w:r>
      <w:r w:rsidRPr="00122A88">
        <w:rPr>
          <w:rFonts w:ascii="Garamond" w:hAnsi="Garamond"/>
        </w:rPr>
        <w:t>World Health Organization (WHO) &amp; The World Bank. (2011). World Report on Disability.(https://www.who.int/publications/i/item/9789241564182)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4947D" w14:textId="77777777" w:rsidR="009C3983" w:rsidRDefault="009C3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0041" w14:textId="77777777" w:rsidR="009C3983" w:rsidRDefault="009C3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64D8" w14:textId="77777777" w:rsidR="009C3983" w:rsidRDefault="009C3983">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4" w14:textId="5230D6B1" w:rsidR="009C3983" w:rsidRDefault="009C398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D24"/>
    <w:multiLevelType w:val="multilevel"/>
    <w:tmpl w:val="95D49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2C3509"/>
    <w:multiLevelType w:val="hybridMultilevel"/>
    <w:tmpl w:val="A7A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A162F"/>
    <w:multiLevelType w:val="multilevel"/>
    <w:tmpl w:val="80745A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13045C"/>
    <w:multiLevelType w:val="hybridMultilevel"/>
    <w:tmpl w:val="C25C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84917"/>
    <w:multiLevelType w:val="hybridMultilevel"/>
    <w:tmpl w:val="88B2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E3689"/>
    <w:multiLevelType w:val="hybridMultilevel"/>
    <w:tmpl w:val="C7A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A3B25"/>
    <w:multiLevelType w:val="multilevel"/>
    <w:tmpl w:val="57828E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0B3F1D"/>
    <w:multiLevelType w:val="hybridMultilevel"/>
    <w:tmpl w:val="F8FA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23B30"/>
    <w:multiLevelType w:val="hybridMultilevel"/>
    <w:tmpl w:val="DD0C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E7526"/>
    <w:multiLevelType w:val="multilevel"/>
    <w:tmpl w:val="0C8A7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1592D84"/>
    <w:multiLevelType w:val="multilevel"/>
    <w:tmpl w:val="D5C6B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29F1186"/>
    <w:multiLevelType w:val="hybridMultilevel"/>
    <w:tmpl w:val="F0E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02EB3"/>
    <w:multiLevelType w:val="multilevel"/>
    <w:tmpl w:val="AFFE3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3DE33E0"/>
    <w:multiLevelType w:val="multilevel"/>
    <w:tmpl w:val="AACA99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89C32CB"/>
    <w:multiLevelType w:val="multilevel"/>
    <w:tmpl w:val="B49EA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177594B"/>
    <w:multiLevelType w:val="multilevel"/>
    <w:tmpl w:val="BA889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7AC0B7C"/>
    <w:multiLevelType w:val="hybridMultilevel"/>
    <w:tmpl w:val="8560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12491F"/>
    <w:multiLevelType w:val="multilevel"/>
    <w:tmpl w:val="C9B81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BA14465"/>
    <w:multiLevelType w:val="hybridMultilevel"/>
    <w:tmpl w:val="3E1297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6EA2053D"/>
    <w:multiLevelType w:val="hybridMultilevel"/>
    <w:tmpl w:val="33C6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94C1A"/>
    <w:multiLevelType w:val="hybridMultilevel"/>
    <w:tmpl w:val="677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77037"/>
    <w:multiLevelType w:val="multilevel"/>
    <w:tmpl w:val="85F6C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83968C6"/>
    <w:multiLevelType w:val="multilevel"/>
    <w:tmpl w:val="770ED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52422142">
    <w:abstractNumId w:val="21"/>
  </w:num>
  <w:num w:numId="2" w16cid:durableId="2110930772">
    <w:abstractNumId w:val="15"/>
  </w:num>
  <w:num w:numId="3" w16cid:durableId="1747337174">
    <w:abstractNumId w:val="22"/>
  </w:num>
  <w:num w:numId="4" w16cid:durableId="914123229">
    <w:abstractNumId w:val="14"/>
  </w:num>
  <w:num w:numId="5" w16cid:durableId="602035481">
    <w:abstractNumId w:val="0"/>
  </w:num>
  <w:num w:numId="6" w16cid:durableId="135270428">
    <w:abstractNumId w:val="9"/>
  </w:num>
  <w:num w:numId="7" w16cid:durableId="836387969">
    <w:abstractNumId w:val="12"/>
  </w:num>
  <w:num w:numId="8" w16cid:durableId="1108739199">
    <w:abstractNumId w:val="13"/>
  </w:num>
  <w:num w:numId="9" w16cid:durableId="845168811">
    <w:abstractNumId w:val="6"/>
  </w:num>
  <w:num w:numId="10" w16cid:durableId="305162902">
    <w:abstractNumId w:val="17"/>
  </w:num>
  <w:num w:numId="11" w16cid:durableId="549732416">
    <w:abstractNumId w:val="10"/>
  </w:num>
  <w:num w:numId="12" w16cid:durableId="2130590395">
    <w:abstractNumId w:val="2"/>
  </w:num>
  <w:num w:numId="13" w16cid:durableId="2031106272">
    <w:abstractNumId w:val="1"/>
  </w:num>
  <w:num w:numId="14" w16cid:durableId="339625189">
    <w:abstractNumId w:val="3"/>
  </w:num>
  <w:num w:numId="15" w16cid:durableId="1379011110">
    <w:abstractNumId w:val="5"/>
  </w:num>
  <w:num w:numId="16" w16cid:durableId="1285380840">
    <w:abstractNumId w:val="8"/>
  </w:num>
  <w:num w:numId="17" w16cid:durableId="278293306">
    <w:abstractNumId w:val="11"/>
  </w:num>
  <w:num w:numId="18" w16cid:durableId="1938128736">
    <w:abstractNumId w:val="7"/>
  </w:num>
  <w:num w:numId="19" w16cid:durableId="108202472">
    <w:abstractNumId w:val="20"/>
  </w:num>
  <w:num w:numId="20" w16cid:durableId="762147570">
    <w:abstractNumId w:val="18"/>
  </w:num>
  <w:num w:numId="21" w16cid:durableId="1327199683">
    <w:abstractNumId w:val="19"/>
  </w:num>
  <w:num w:numId="22" w16cid:durableId="507789010">
    <w:abstractNumId w:val="16"/>
  </w:num>
  <w:num w:numId="23" w16cid:durableId="12685403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yNDC0NDayNDGyNDdW0lEKTi0uzszPAykwrAUA0UnHtSwAAAA="/>
  </w:docVars>
  <w:rsids>
    <w:rsidRoot w:val="00D84B93"/>
    <w:rsid w:val="00005BF2"/>
    <w:rsid w:val="00006830"/>
    <w:rsid w:val="00007152"/>
    <w:rsid w:val="00011E5C"/>
    <w:rsid w:val="00024769"/>
    <w:rsid w:val="00046CF0"/>
    <w:rsid w:val="00056436"/>
    <w:rsid w:val="000575EC"/>
    <w:rsid w:val="00066FBB"/>
    <w:rsid w:val="00076441"/>
    <w:rsid w:val="000772D5"/>
    <w:rsid w:val="00082026"/>
    <w:rsid w:val="0009280D"/>
    <w:rsid w:val="00092878"/>
    <w:rsid w:val="000967B6"/>
    <w:rsid w:val="00097508"/>
    <w:rsid w:val="000A0146"/>
    <w:rsid w:val="000A10BD"/>
    <w:rsid w:val="000B01D3"/>
    <w:rsid w:val="000B350E"/>
    <w:rsid w:val="000B766B"/>
    <w:rsid w:val="000B79DB"/>
    <w:rsid w:val="000E6ECC"/>
    <w:rsid w:val="000F555C"/>
    <w:rsid w:val="001112C1"/>
    <w:rsid w:val="00112B00"/>
    <w:rsid w:val="00122A88"/>
    <w:rsid w:val="001306E5"/>
    <w:rsid w:val="00130D1F"/>
    <w:rsid w:val="00142193"/>
    <w:rsid w:val="0014418E"/>
    <w:rsid w:val="001448D4"/>
    <w:rsid w:val="00154246"/>
    <w:rsid w:val="001635FB"/>
    <w:rsid w:val="001677E2"/>
    <w:rsid w:val="00180D14"/>
    <w:rsid w:val="001A5933"/>
    <w:rsid w:val="001B0D6A"/>
    <w:rsid w:val="001B37A9"/>
    <w:rsid w:val="001C2DF4"/>
    <w:rsid w:val="001D4CF2"/>
    <w:rsid w:val="001E1DC2"/>
    <w:rsid w:val="001E70A9"/>
    <w:rsid w:val="001E7AEF"/>
    <w:rsid w:val="001F74D2"/>
    <w:rsid w:val="00210978"/>
    <w:rsid w:val="0021448E"/>
    <w:rsid w:val="00231643"/>
    <w:rsid w:val="00234AE3"/>
    <w:rsid w:val="002469C2"/>
    <w:rsid w:val="00260676"/>
    <w:rsid w:val="002628BB"/>
    <w:rsid w:val="00276EB3"/>
    <w:rsid w:val="00281866"/>
    <w:rsid w:val="00281E5E"/>
    <w:rsid w:val="00291BE2"/>
    <w:rsid w:val="00292C88"/>
    <w:rsid w:val="002A3EF4"/>
    <w:rsid w:val="002A5B69"/>
    <w:rsid w:val="002C087F"/>
    <w:rsid w:val="002D1B04"/>
    <w:rsid w:val="002E7C7A"/>
    <w:rsid w:val="002F6A19"/>
    <w:rsid w:val="003005EE"/>
    <w:rsid w:val="00300F55"/>
    <w:rsid w:val="003028C4"/>
    <w:rsid w:val="003151E0"/>
    <w:rsid w:val="00317FF0"/>
    <w:rsid w:val="00335256"/>
    <w:rsid w:val="00341EBB"/>
    <w:rsid w:val="00347780"/>
    <w:rsid w:val="003524F3"/>
    <w:rsid w:val="00363FDE"/>
    <w:rsid w:val="00374B78"/>
    <w:rsid w:val="0038783E"/>
    <w:rsid w:val="003A0D2D"/>
    <w:rsid w:val="003A2CDD"/>
    <w:rsid w:val="003A490D"/>
    <w:rsid w:val="003A5FEF"/>
    <w:rsid w:val="003B5802"/>
    <w:rsid w:val="003C1D4C"/>
    <w:rsid w:val="003D56E6"/>
    <w:rsid w:val="003E2A3F"/>
    <w:rsid w:val="00404169"/>
    <w:rsid w:val="004103B5"/>
    <w:rsid w:val="00413802"/>
    <w:rsid w:val="00414B43"/>
    <w:rsid w:val="004230BA"/>
    <w:rsid w:val="0042472B"/>
    <w:rsid w:val="00424E16"/>
    <w:rsid w:val="00447770"/>
    <w:rsid w:val="00447D13"/>
    <w:rsid w:val="00451045"/>
    <w:rsid w:val="00466810"/>
    <w:rsid w:val="00477742"/>
    <w:rsid w:val="0048608A"/>
    <w:rsid w:val="00491186"/>
    <w:rsid w:val="00493CB7"/>
    <w:rsid w:val="004A60F6"/>
    <w:rsid w:val="004B0D17"/>
    <w:rsid w:val="004C2C5A"/>
    <w:rsid w:val="004D01C5"/>
    <w:rsid w:val="004D2347"/>
    <w:rsid w:val="004E3436"/>
    <w:rsid w:val="004E7388"/>
    <w:rsid w:val="00506126"/>
    <w:rsid w:val="00511F7B"/>
    <w:rsid w:val="00521274"/>
    <w:rsid w:val="00525FE9"/>
    <w:rsid w:val="00533074"/>
    <w:rsid w:val="0053357A"/>
    <w:rsid w:val="00535F2E"/>
    <w:rsid w:val="0054617D"/>
    <w:rsid w:val="00551653"/>
    <w:rsid w:val="00562B2D"/>
    <w:rsid w:val="00562ED3"/>
    <w:rsid w:val="0058074C"/>
    <w:rsid w:val="00581B4C"/>
    <w:rsid w:val="005A1D2C"/>
    <w:rsid w:val="005A3298"/>
    <w:rsid w:val="005A3A93"/>
    <w:rsid w:val="005A56E4"/>
    <w:rsid w:val="005A5B29"/>
    <w:rsid w:val="005E21D0"/>
    <w:rsid w:val="005E4736"/>
    <w:rsid w:val="005E62DE"/>
    <w:rsid w:val="005E6E63"/>
    <w:rsid w:val="005F0372"/>
    <w:rsid w:val="005F185D"/>
    <w:rsid w:val="006022C3"/>
    <w:rsid w:val="00604171"/>
    <w:rsid w:val="00605FDA"/>
    <w:rsid w:val="006344D7"/>
    <w:rsid w:val="00635F61"/>
    <w:rsid w:val="00644AF7"/>
    <w:rsid w:val="00651F4C"/>
    <w:rsid w:val="006673A6"/>
    <w:rsid w:val="00667F0E"/>
    <w:rsid w:val="006850D8"/>
    <w:rsid w:val="00691677"/>
    <w:rsid w:val="0069182B"/>
    <w:rsid w:val="006B0F5B"/>
    <w:rsid w:val="006B2F33"/>
    <w:rsid w:val="006B69B1"/>
    <w:rsid w:val="006C2BC1"/>
    <w:rsid w:val="006C5D35"/>
    <w:rsid w:val="006C6661"/>
    <w:rsid w:val="006D3B72"/>
    <w:rsid w:val="006E7ECD"/>
    <w:rsid w:val="006F4F34"/>
    <w:rsid w:val="00700C21"/>
    <w:rsid w:val="007121F5"/>
    <w:rsid w:val="0071476C"/>
    <w:rsid w:val="007158BE"/>
    <w:rsid w:val="007310CF"/>
    <w:rsid w:val="00733921"/>
    <w:rsid w:val="00747A53"/>
    <w:rsid w:val="007508BE"/>
    <w:rsid w:val="00781FD5"/>
    <w:rsid w:val="00790B44"/>
    <w:rsid w:val="00794849"/>
    <w:rsid w:val="00797915"/>
    <w:rsid w:val="007A74B7"/>
    <w:rsid w:val="007B5FD8"/>
    <w:rsid w:val="007C0CCC"/>
    <w:rsid w:val="007C1B1A"/>
    <w:rsid w:val="007C6A05"/>
    <w:rsid w:val="007D62A5"/>
    <w:rsid w:val="007EC286"/>
    <w:rsid w:val="008132CC"/>
    <w:rsid w:val="00816412"/>
    <w:rsid w:val="0081761D"/>
    <w:rsid w:val="008211E7"/>
    <w:rsid w:val="00822C1E"/>
    <w:rsid w:val="008437DA"/>
    <w:rsid w:val="008463FC"/>
    <w:rsid w:val="00852D25"/>
    <w:rsid w:val="008633AD"/>
    <w:rsid w:val="00871793"/>
    <w:rsid w:val="0088540F"/>
    <w:rsid w:val="00895294"/>
    <w:rsid w:val="008975BD"/>
    <w:rsid w:val="008A6A26"/>
    <w:rsid w:val="008B2864"/>
    <w:rsid w:val="008B4B4A"/>
    <w:rsid w:val="008B7FAF"/>
    <w:rsid w:val="008C4945"/>
    <w:rsid w:val="008C72CD"/>
    <w:rsid w:val="008D45EE"/>
    <w:rsid w:val="008D4699"/>
    <w:rsid w:val="008F4950"/>
    <w:rsid w:val="008F7154"/>
    <w:rsid w:val="00901044"/>
    <w:rsid w:val="009075AB"/>
    <w:rsid w:val="00926992"/>
    <w:rsid w:val="0094513D"/>
    <w:rsid w:val="00976B48"/>
    <w:rsid w:val="00977D37"/>
    <w:rsid w:val="00983488"/>
    <w:rsid w:val="00991741"/>
    <w:rsid w:val="0099248D"/>
    <w:rsid w:val="009A0DE8"/>
    <w:rsid w:val="009A3086"/>
    <w:rsid w:val="009B0A24"/>
    <w:rsid w:val="009C3983"/>
    <w:rsid w:val="009C6C7D"/>
    <w:rsid w:val="009D034A"/>
    <w:rsid w:val="009F1F16"/>
    <w:rsid w:val="009F46E8"/>
    <w:rsid w:val="009F503E"/>
    <w:rsid w:val="00A128D8"/>
    <w:rsid w:val="00A418FC"/>
    <w:rsid w:val="00A4415F"/>
    <w:rsid w:val="00A74F84"/>
    <w:rsid w:val="00A876FF"/>
    <w:rsid w:val="00A935EF"/>
    <w:rsid w:val="00A973D7"/>
    <w:rsid w:val="00AA0E7B"/>
    <w:rsid w:val="00AA3222"/>
    <w:rsid w:val="00AA6727"/>
    <w:rsid w:val="00AB197B"/>
    <w:rsid w:val="00AB1EB9"/>
    <w:rsid w:val="00AC1CF6"/>
    <w:rsid w:val="00AC2FD9"/>
    <w:rsid w:val="00AC3A8D"/>
    <w:rsid w:val="00AC4939"/>
    <w:rsid w:val="00AC6398"/>
    <w:rsid w:val="00AD613D"/>
    <w:rsid w:val="00B004AD"/>
    <w:rsid w:val="00B00673"/>
    <w:rsid w:val="00B10624"/>
    <w:rsid w:val="00B23A3E"/>
    <w:rsid w:val="00B300D8"/>
    <w:rsid w:val="00B36BA0"/>
    <w:rsid w:val="00B56E40"/>
    <w:rsid w:val="00B62610"/>
    <w:rsid w:val="00B67E17"/>
    <w:rsid w:val="00B858F9"/>
    <w:rsid w:val="00B874B8"/>
    <w:rsid w:val="00BA374B"/>
    <w:rsid w:val="00BB0B5B"/>
    <w:rsid w:val="00BB3666"/>
    <w:rsid w:val="00BB6A3C"/>
    <w:rsid w:val="00BC13B4"/>
    <w:rsid w:val="00BC149D"/>
    <w:rsid w:val="00BC14FE"/>
    <w:rsid w:val="00BC7F5E"/>
    <w:rsid w:val="00BD64EF"/>
    <w:rsid w:val="00BF4344"/>
    <w:rsid w:val="00C02907"/>
    <w:rsid w:val="00C13F64"/>
    <w:rsid w:val="00C22E46"/>
    <w:rsid w:val="00C23014"/>
    <w:rsid w:val="00C41997"/>
    <w:rsid w:val="00C61B44"/>
    <w:rsid w:val="00C73A05"/>
    <w:rsid w:val="00C75C74"/>
    <w:rsid w:val="00C778A8"/>
    <w:rsid w:val="00C81767"/>
    <w:rsid w:val="00C84BB7"/>
    <w:rsid w:val="00C86B2A"/>
    <w:rsid w:val="00C87418"/>
    <w:rsid w:val="00C91397"/>
    <w:rsid w:val="00CA15AA"/>
    <w:rsid w:val="00CA27D6"/>
    <w:rsid w:val="00CC0784"/>
    <w:rsid w:val="00CC09D0"/>
    <w:rsid w:val="00CC0E37"/>
    <w:rsid w:val="00CD143E"/>
    <w:rsid w:val="00CE755B"/>
    <w:rsid w:val="00CF6F79"/>
    <w:rsid w:val="00D00EB7"/>
    <w:rsid w:val="00D05D41"/>
    <w:rsid w:val="00D064E0"/>
    <w:rsid w:val="00D1254F"/>
    <w:rsid w:val="00D17B34"/>
    <w:rsid w:val="00D33366"/>
    <w:rsid w:val="00D33867"/>
    <w:rsid w:val="00D33F36"/>
    <w:rsid w:val="00D35A2E"/>
    <w:rsid w:val="00D372E4"/>
    <w:rsid w:val="00D4240B"/>
    <w:rsid w:val="00D45D9D"/>
    <w:rsid w:val="00D61899"/>
    <w:rsid w:val="00D624AB"/>
    <w:rsid w:val="00D67364"/>
    <w:rsid w:val="00D77FC3"/>
    <w:rsid w:val="00D82E21"/>
    <w:rsid w:val="00D845E7"/>
    <w:rsid w:val="00D84B93"/>
    <w:rsid w:val="00D86A73"/>
    <w:rsid w:val="00D8742F"/>
    <w:rsid w:val="00D9435E"/>
    <w:rsid w:val="00DA0C55"/>
    <w:rsid w:val="00DA1D8D"/>
    <w:rsid w:val="00DB5B97"/>
    <w:rsid w:val="00DB79A9"/>
    <w:rsid w:val="00DC762E"/>
    <w:rsid w:val="00DE29C0"/>
    <w:rsid w:val="00DF20F4"/>
    <w:rsid w:val="00DF25F1"/>
    <w:rsid w:val="00DF4EB3"/>
    <w:rsid w:val="00DF5BF1"/>
    <w:rsid w:val="00DF65F8"/>
    <w:rsid w:val="00E0699E"/>
    <w:rsid w:val="00E15327"/>
    <w:rsid w:val="00E1591C"/>
    <w:rsid w:val="00E17E9F"/>
    <w:rsid w:val="00E200F7"/>
    <w:rsid w:val="00E2466C"/>
    <w:rsid w:val="00E27538"/>
    <w:rsid w:val="00E352DB"/>
    <w:rsid w:val="00E368C5"/>
    <w:rsid w:val="00E41530"/>
    <w:rsid w:val="00E4638C"/>
    <w:rsid w:val="00E470DE"/>
    <w:rsid w:val="00E615A0"/>
    <w:rsid w:val="00E75273"/>
    <w:rsid w:val="00E766D5"/>
    <w:rsid w:val="00E84C71"/>
    <w:rsid w:val="00E95F77"/>
    <w:rsid w:val="00E96AE0"/>
    <w:rsid w:val="00E96C38"/>
    <w:rsid w:val="00EC573F"/>
    <w:rsid w:val="00ED6FD4"/>
    <w:rsid w:val="00EE3CD1"/>
    <w:rsid w:val="00EF7053"/>
    <w:rsid w:val="00F06874"/>
    <w:rsid w:val="00F123FA"/>
    <w:rsid w:val="00F146F9"/>
    <w:rsid w:val="00F36464"/>
    <w:rsid w:val="00F41E4D"/>
    <w:rsid w:val="00F43CA7"/>
    <w:rsid w:val="00F47039"/>
    <w:rsid w:val="00F75B80"/>
    <w:rsid w:val="00F76F4E"/>
    <w:rsid w:val="00F81358"/>
    <w:rsid w:val="00FA2B57"/>
    <w:rsid w:val="00FD4261"/>
    <w:rsid w:val="00FD59CE"/>
    <w:rsid w:val="00FF1D9D"/>
    <w:rsid w:val="01A4104A"/>
    <w:rsid w:val="01EFE9AF"/>
    <w:rsid w:val="03850549"/>
    <w:rsid w:val="05736BBA"/>
    <w:rsid w:val="05E60C44"/>
    <w:rsid w:val="05E75F64"/>
    <w:rsid w:val="06A21AFD"/>
    <w:rsid w:val="0912D77E"/>
    <w:rsid w:val="09370C14"/>
    <w:rsid w:val="09D5EA22"/>
    <w:rsid w:val="0D1A4D27"/>
    <w:rsid w:val="0F3EE325"/>
    <w:rsid w:val="0FE789F3"/>
    <w:rsid w:val="126896B2"/>
    <w:rsid w:val="12898BA5"/>
    <w:rsid w:val="129F74C5"/>
    <w:rsid w:val="13051B2F"/>
    <w:rsid w:val="142C1852"/>
    <w:rsid w:val="1583FC41"/>
    <w:rsid w:val="16EC0DB3"/>
    <w:rsid w:val="173C4D3D"/>
    <w:rsid w:val="17839C6B"/>
    <w:rsid w:val="1953B96B"/>
    <w:rsid w:val="19D841D6"/>
    <w:rsid w:val="1AC0B351"/>
    <w:rsid w:val="1B9881BF"/>
    <w:rsid w:val="1BEE9E57"/>
    <w:rsid w:val="1E8B83EB"/>
    <w:rsid w:val="236E6496"/>
    <w:rsid w:val="254D373A"/>
    <w:rsid w:val="25ED15D9"/>
    <w:rsid w:val="2682176E"/>
    <w:rsid w:val="2792EAAB"/>
    <w:rsid w:val="28AE56AA"/>
    <w:rsid w:val="2BD0F86D"/>
    <w:rsid w:val="2CC9D83B"/>
    <w:rsid w:val="3134CED1"/>
    <w:rsid w:val="3146FE87"/>
    <w:rsid w:val="3374997E"/>
    <w:rsid w:val="34049F7F"/>
    <w:rsid w:val="35D0B9B4"/>
    <w:rsid w:val="35E70550"/>
    <w:rsid w:val="37A55873"/>
    <w:rsid w:val="3848DA90"/>
    <w:rsid w:val="38B53A14"/>
    <w:rsid w:val="38DA875E"/>
    <w:rsid w:val="3AED8BA4"/>
    <w:rsid w:val="3B2EFD01"/>
    <w:rsid w:val="3B39D9A3"/>
    <w:rsid w:val="3CAD0EDA"/>
    <w:rsid w:val="3E82E96D"/>
    <w:rsid w:val="3EA8B6D3"/>
    <w:rsid w:val="3ED30A66"/>
    <w:rsid w:val="3FD64DDD"/>
    <w:rsid w:val="40030543"/>
    <w:rsid w:val="41C5FB01"/>
    <w:rsid w:val="41E172A7"/>
    <w:rsid w:val="42DD44A1"/>
    <w:rsid w:val="4334CD3C"/>
    <w:rsid w:val="435305E6"/>
    <w:rsid w:val="436EB1D2"/>
    <w:rsid w:val="43B35C43"/>
    <w:rsid w:val="45C5A18F"/>
    <w:rsid w:val="4668B382"/>
    <w:rsid w:val="4685DB31"/>
    <w:rsid w:val="47887BB1"/>
    <w:rsid w:val="485A0360"/>
    <w:rsid w:val="4990A123"/>
    <w:rsid w:val="49E73F6C"/>
    <w:rsid w:val="49EEDA8E"/>
    <w:rsid w:val="4A050642"/>
    <w:rsid w:val="4A1DBCB2"/>
    <w:rsid w:val="4B53AC4B"/>
    <w:rsid w:val="4C09043A"/>
    <w:rsid w:val="4DEF381C"/>
    <w:rsid w:val="4DFA5134"/>
    <w:rsid w:val="4F0F099E"/>
    <w:rsid w:val="4FB4247E"/>
    <w:rsid w:val="50B60996"/>
    <w:rsid w:val="51782A2A"/>
    <w:rsid w:val="51D6B10F"/>
    <w:rsid w:val="51F9A844"/>
    <w:rsid w:val="520AA04B"/>
    <w:rsid w:val="54920CFB"/>
    <w:rsid w:val="55C167A3"/>
    <w:rsid w:val="55F0E0E4"/>
    <w:rsid w:val="55FB0BB4"/>
    <w:rsid w:val="5643E5A9"/>
    <w:rsid w:val="56648974"/>
    <w:rsid w:val="584B6335"/>
    <w:rsid w:val="594E7621"/>
    <w:rsid w:val="596EB80C"/>
    <w:rsid w:val="5AE45022"/>
    <w:rsid w:val="5B8422A3"/>
    <w:rsid w:val="5D0096AC"/>
    <w:rsid w:val="5D06C8C1"/>
    <w:rsid w:val="5D9848DD"/>
    <w:rsid w:val="5F645D75"/>
    <w:rsid w:val="60256C05"/>
    <w:rsid w:val="64158C0F"/>
    <w:rsid w:val="6605BF02"/>
    <w:rsid w:val="666EE2A6"/>
    <w:rsid w:val="6924FA67"/>
    <w:rsid w:val="69A95365"/>
    <w:rsid w:val="69F29D86"/>
    <w:rsid w:val="6BF0BF2F"/>
    <w:rsid w:val="6C4CCD62"/>
    <w:rsid w:val="6C89030F"/>
    <w:rsid w:val="6DE101B0"/>
    <w:rsid w:val="6F41F36D"/>
    <w:rsid w:val="6F68E707"/>
    <w:rsid w:val="6FFB54D4"/>
    <w:rsid w:val="729C30C3"/>
    <w:rsid w:val="7323185E"/>
    <w:rsid w:val="7455AD03"/>
    <w:rsid w:val="74984958"/>
    <w:rsid w:val="75BF0008"/>
    <w:rsid w:val="77A23645"/>
    <w:rsid w:val="78F0955D"/>
    <w:rsid w:val="7B358CAA"/>
    <w:rsid w:val="7C257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64D58E"/>
  <w15:docId w15:val="{0F015B71-AA05-4DFC-83BC-8364C42F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GB" w:eastAsia="en-GB"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FE2"/>
  </w:style>
  <w:style w:type="paragraph" w:styleId="Heading1">
    <w:name w:val="heading 1"/>
    <w:basedOn w:val="Normal"/>
    <w:next w:val="Normal"/>
    <w:link w:val="Heading1Char"/>
    <w:uiPriority w:val="9"/>
    <w:qFormat/>
    <w:rsid w:val="00212E84"/>
    <w:pPr>
      <w:spacing w:before="240" w:after="100" w:afterAutospacing="1"/>
      <w:ind w:left="369" w:hanging="369"/>
      <w:outlineLvl w:val="0"/>
    </w:pPr>
    <w:rPr>
      <w:b/>
      <w:color w:val="44841A"/>
    </w:rPr>
  </w:style>
  <w:style w:type="paragraph" w:styleId="Heading2">
    <w:name w:val="heading 2"/>
    <w:basedOn w:val="Normal"/>
    <w:next w:val="Normal"/>
    <w:link w:val="Heading2Char"/>
    <w:uiPriority w:val="9"/>
    <w:unhideWhenUsed/>
    <w:qFormat/>
    <w:rsid w:val="00212E84"/>
    <w:pPr>
      <w:keepNext/>
      <w:keepLines/>
      <w:spacing w:before="40" w:after="120"/>
      <w:outlineLvl w:val="1"/>
    </w:pPr>
    <w:rPr>
      <w:b/>
      <w:color w:val="44841A"/>
      <w:sz w:val="26"/>
      <w:szCs w:val="26"/>
    </w:rPr>
  </w:style>
  <w:style w:type="paragraph" w:styleId="Heading3">
    <w:name w:val="heading 3"/>
    <w:basedOn w:val="Normal"/>
    <w:next w:val="Normal"/>
    <w:link w:val="Heading3Char"/>
    <w:uiPriority w:val="9"/>
    <w:unhideWhenUsed/>
    <w:qFormat/>
    <w:rsid w:val="00935F69"/>
    <w:pPr>
      <w:spacing w:before="240" w:after="100" w:afterAutospacing="1" w:line="240" w:lineRule="auto"/>
      <w:ind w:left="357" w:hanging="357"/>
      <w:outlineLvl w:val="2"/>
    </w:pPr>
    <w:rPr>
      <w:b/>
      <w:bCs/>
      <w:color w:val="44841A"/>
    </w:rPr>
  </w:style>
  <w:style w:type="paragraph" w:styleId="Heading4">
    <w:name w:val="heading 4"/>
    <w:basedOn w:val="Normal"/>
    <w:next w:val="Normal"/>
    <w:link w:val="Heading4Char"/>
    <w:uiPriority w:val="9"/>
    <w:unhideWhenUsed/>
    <w:qFormat/>
    <w:rsid w:val="008A27D6"/>
    <w:pPr>
      <w:outlineLvl w:val="3"/>
    </w:pPr>
    <w:rPr>
      <w:color w:val="44841A"/>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7048B"/>
    <w:pPr>
      <w:keepNext/>
      <w:keepLines/>
      <w:spacing w:before="40" w:after="0" w:line="259" w:lineRule="auto"/>
      <w:jc w:val="left"/>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67048B"/>
    <w:pPr>
      <w:keepNext/>
      <w:keepLines/>
      <w:spacing w:after="0" w:line="259" w:lineRule="auto"/>
      <w:jc w:val="left"/>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67048B"/>
    <w:pPr>
      <w:keepNext/>
      <w:keepLines/>
      <w:spacing w:after="0" w:line="259" w:lineRule="auto"/>
      <w:jc w:val="left"/>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basedOn w:val="Normal"/>
    <w:uiPriority w:val="34"/>
    <w:qFormat/>
    <w:rsid w:val="00A87D7F"/>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27">
    <w:name w:val="27"/>
    <w:basedOn w:val="TableNormal"/>
    <w:pPr>
      <w:spacing w:after="0" w:line="240" w:lineRule="auto"/>
    </w:pPr>
    <w:tblPr>
      <w:tblStyleRowBandSize w:val="1"/>
      <w:tblStyleColBandSize w:val="1"/>
      <w:tblCellMar>
        <w:top w:w="100" w:type="dxa"/>
        <w:left w:w="0" w:type="dxa"/>
        <w:bottom w:w="100" w:type="dxa"/>
        <w:right w:w="0" w:type="dxa"/>
      </w:tblCellMar>
    </w:tblPr>
  </w:style>
  <w:style w:type="table" w:customStyle="1" w:styleId="26">
    <w:name w:val="26"/>
    <w:basedOn w:val="TableNormal"/>
    <w:pPr>
      <w:spacing w:after="0" w:line="240" w:lineRule="auto"/>
    </w:pPr>
    <w:tblPr>
      <w:tblStyleRowBandSize w:val="1"/>
      <w:tblStyleColBandSize w:val="1"/>
      <w:tblCellMar>
        <w:top w:w="100" w:type="dxa"/>
        <w:left w:w="0" w:type="dxa"/>
        <w:bottom w:w="100" w:type="dxa"/>
        <w:right w:w="0" w:type="dxa"/>
      </w:tblCellMar>
    </w:tblPr>
  </w:style>
  <w:style w:type="table" w:customStyle="1" w:styleId="25">
    <w:name w:val="25"/>
    <w:basedOn w:val="TableNormal"/>
    <w:pPr>
      <w:spacing w:after="0" w:line="240" w:lineRule="auto"/>
    </w:pPr>
    <w:tblPr>
      <w:tblStyleRowBandSize w:val="1"/>
      <w:tblStyleColBandSize w:val="1"/>
      <w:tblCellMar>
        <w:top w:w="100" w:type="dxa"/>
        <w:left w:w="0" w:type="dxa"/>
        <w:bottom w:w="100" w:type="dxa"/>
        <w:right w:w="0" w:type="dxa"/>
      </w:tblCellMar>
    </w:tblPr>
  </w:style>
  <w:style w:type="paragraph" w:styleId="NormalWeb">
    <w:name w:val="Normal (Web)"/>
    <w:basedOn w:val="Normal"/>
    <w:uiPriority w:val="99"/>
    <w:unhideWhenUsed/>
    <w:rsid w:val="00D232DB"/>
    <w:pPr>
      <w:spacing w:before="100" w:beforeAutospacing="1" w:after="100" w:afterAutospacing="1" w:line="240" w:lineRule="auto"/>
    </w:pPr>
    <w:rPr>
      <w:rFonts w:ascii="Times New Roman" w:eastAsia="Times New Roman" w:hAnsi="Times New Roman" w:cs="Times New Roman"/>
    </w:rPr>
  </w:style>
  <w:style w:type="character" w:styleId="FootnoteReference">
    <w:name w:val="footnote reference"/>
    <w:basedOn w:val="DefaultParagraphFont"/>
    <w:uiPriority w:val="99"/>
    <w:unhideWhenUsed/>
    <w:rsid w:val="001F6F48"/>
    <w:rPr>
      <w:vertAlign w:val="superscript"/>
    </w:rPr>
  </w:style>
  <w:style w:type="paragraph" w:styleId="FootnoteText">
    <w:name w:val="footnote text"/>
    <w:basedOn w:val="Normal"/>
    <w:link w:val="FootnoteTextChar"/>
    <w:uiPriority w:val="99"/>
    <w:unhideWhenUsed/>
    <w:rsid w:val="001F6F48"/>
    <w:pPr>
      <w:spacing w:before="1" w:after="0" w:line="240" w:lineRule="auto"/>
      <w:ind w:left="220" w:right="353"/>
    </w:pPr>
    <w:rPr>
      <w:rFonts w:ascii="Verdana" w:eastAsia="Verdana" w:hAnsi="Verdana" w:cs="Verdana"/>
      <w:sz w:val="20"/>
      <w:szCs w:val="20"/>
    </w:rPr>
  </w:style>
  <w:style w:type="character" w:customStyle="1" w:styleId="FootnoteTextChar">
    <w:name w:val="Footnote Text Char"/>
    <w:basedOn w:val="DefaultParagraphFont"/>
    <w:link w:val="FootnoteText"/>
    <w:uiPriority w:val="99"/>
    <w:rsid w:val="001F6F48"/>
    <w:rPr>
      <w:rFonts w:ascii="Verdana" w:eastAsia="Verdana" w:hAnsi="Verdana" w:cs="Verdana"/>
      <w:sz w:val="20"/>
      <w:szCs w:val="20"/>
      <w:lang w:val="en-GB"/>
    </w:rPr>
  </w:style>
  <w:style w:type="character" w:styleId="Hyperlink">
    <w:name w:val="Hyperlink"/>
    <w:basedOn w:val="DefaultParagraphFont"/>
    <w:uiPriority w:val="99"/>
    <w:unhideWhenUsed/>
    <w:rsid w:val="001F6F48"/>
    <w:rPr>
      <w:color w:val="0563C1" w:themeColor="hyperlink"/>
      <w:u w:val="single"/>
    </w:rPr>
  </w:style>
  <w:style w:type="table" w:customStyle="1" w:styleId="3">
    <w:name w:val="3"/>
    <w:basedOn w:val="TableNormal"/>
    <w:rsid w:val="001F6F48"/>
    <w:pPr>
      <w:spacing w:after="0" w:line="240" w:lineRule="auto"/>
    </w:p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customStyle="1" w:styleId="Heading1Char">
    <w:name w:val="Heading 1 Char"/>
    <w:basedOn w:val="DefaultParagraphFont"/>
    <w:link w:val="Heading1"/>
    <w:uiPriority w:val="9"/>
    <w:rsid w:val="00212E84"/>
    <w:rPr>
      <w:b/>
      <w:color w:val="44841A"/>
      <w:lang w:val="en-GB"/>
    </w:r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pPr>
      <w:spacing w:after="0" w:line="240" w:lineRule="auto"/>
    </w:p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7C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CBA"/>
    <w:rPr>
      <w:rFonts w:ascii="Segoe UI" w:hAnsi="Segoe UI" w:cs="Segoe UI"/>
      <w:sz w:val="18"/>
      <w:szCs w:val="18"/>
    </w:rPr>
  </w:style>
  <w:style w:type="table" w:styleId="TableGrid">
    <w:name w:val="Table Grid"/>
    <w:basedOn w:val="TableNormal"/>
    <w:uiPriority w:val="39"/>
    <w:rsid w:val="0048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F01"/>
    <w:rPr>
      <w:rFonts w:ascii="Garamond" w:eastAsia="Garamond" w:hAnsi="Garamond" w:cs="Garamond"/>
      <w:sz w:val="24"/>
      <w:szCs w:val="24"/>
    </w:rPr>
  </w:style>
  <w:style w:type="paragraph" w:styleId="Footer">
    <w:name w:val="footer"/>
    <w:basedOn w:val="Normal"/>
    <w:link w:val="FooterChar"/>
    <w:uiPriority w:val="99"/>
    <w:unhideWhenUsed/>
    <w:rsid w:val="00794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F01"/>
    <w:rPr>
      <w:rFonts w:ascii="Garamond" w:eastAsia="Garamond" w:hAnsi="Garamond" w:cs="Garamond"/>
      <w:sz w:val="24"/>
      <w:szCs w:val="24"/>
    </w:rPr>
  </w:style>
  <w:style w:type="paragraph" w:styleId="TOC1">
    <w:name w:val="toc 1"/>
    <w:basedOn w:val="Normal"/>
    <w:next w:val="Normal"/>
    <w:autoRedefine/>
    <w:uiPriority w:val="39"/>
    <w:unhideWhenUsed/>
    <w:rsid w:val="00F977E4"/>
    <w:pPr>
      <w:spacing w:after="100"/>
    </w:pPr>
  </w:style>
  <w:style w:type="paragraph" w:styleId="TOC2">
    <w:name w:val="toc 2"/>
    <w:basedOn w:val="Normal"/>
    <w:next w:val="Normal"/>
    <w:autoRedefine/>
    <w:uiPriority w:val="39"/>
    <w:unhideWhenUsed/>
    <w:rsid w:val="00F977E4"/>
    <w:pPr>
      <w:spacing w:after="100"/>
      <w:ind w:left="240"/>
    </w:pPr>
  </w:style>
  <w:style w:type="paragraph" w:styleId="TOC3">
    <w:name w:val="toc 3"/>
    <w:basedOn w:val="Normal"/>
    <w:next w:val="Normal"/>
    <w:autoRedefine/>
    <w:uiPriority w:val="39"/>
    <w:unhideWhenUsed/>
    <w:rsid w:val="00F977E4"/>
    <w:pPr>
      <w:spacing w:after="100"/>
      <w:ind w:left="480"/>
    </w:pPr>
  </w:style>
  <w:style w:type="paragraph" w:styleId="Caption">
    <w:name w:val="caption"/>
    <w:basedOn w:val="Normal"/>
    <w:next w:val="Normal"/>
    <w:uiPriority w:val="35"/>
    <w:unhideWhenUsed/>
    <w:qFormat/>
    <w:rsid w:val="009673FB"/>
    <w:pPr>
      <w:spacing w:after="200" w:line="240" w:lineRule="auto"/>
    </w:pPr>
    <w:rPr>
      <w:i/>
      <w:iCs/>
      <w:color w:val="44546A" w:themeColor="text2"/>
      <w:sz w:val="22"/>
      <w:szCs w:val="22"/>
    </w:rPr>
  </w:style>
  <w:style w:type="paragraph" w:styleId="Quote">
    <w:name w:val="Quote"/>
    <w:basedOn w:val="Normal"/>
    <w:next w:val="Normal"/>
    <w:link w:val="QuoteChar"/>
    <w:uiPriority w:val="29"/>
    <w:qFormat/>
    <w:rsid w:val="000803C0"/>
    <w:pPr>
      <w:jc w:val="center"/>
    </w:pPr>
    <w:rPr>
      <w:i/>
      <w:color w:val="00ADD0"/>
    </w:rPr>
  </w:style>
  <w:style w:type="character" w:customStyle="1" w:styleId="QuoteChar">
    <w:name w:val="Quote Char"/>
    <w:basedOn w:val="DefaultParagraphFont"/>
    <w:link w:val="Quote"/>
    <w:uiPriority w:val="29"/>
    <w:rsid w:val="000803C0"/>
    <w:rPr>
      <w:rFonts w:ascii="Garamond" w:eastAsia="Garamond" w:hAnsi="Garamond" w:cs="Garamond"/>
      <w:i/>
      <w:color w:val="00ADD0"/>
      <w:sz w:val="24"/>
      <w:szCs w:val="24"/>
    </w:rPr>
  </w:style>
  <w:style w:type="table" w:styleId="GridTable5Dark-Accent6">
    <w:name w:val="Grid Table 5 Dark Accent 6"/>
    <w:basedOn w:val="TableNormal"/>
    <w:uiPriority w:val="50"/>
    <w:rsid w:val="00FD5D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2Char">
    <w:name w:val="Heading 2 Char"/>
    <w:basedOn w:val="DefaultParagraphFont"/>
    <w:link w:val="Heading2"/>
    <w:uiPriority w:val="9"/>
    <w:rsid w:val="00212E84"/>
    <w:rPr>
      <w:b/>
      <w:color w:val="44841A"/>
      <w:sz w:val="26"/>
      <w:szCs w:val="26"/>
      <w:lang w:val="en-GB"/>
    </w:rPr>
  </w:style>
  <w:style w:type="table" w:customStyle="1" w:styleId="20">
    <w:name w:val="20"/>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9">
    <w:name w:val="19"/>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18">
    <w:name w:val="18"/>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7">
    <w:name w:val="17"/>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6">
    <w:name w:val="16"/>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5">
    <w:name w:val="15"/>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paragraph" w:styleId="CommentSubject">
    <w:name w:val="annotation subject"/>
    <w:basedOn w:val="CommentText"/>
    <w:next w:val="CommentText"/>
    <w:link w:val="CommentSubjectChar"/>
    <w:uiPriority w:val="99"/>
    <w:semiHidden/>
    <w:unhideWhenUsed/>
    <w:rsid w:val="00A03FC4"/>
    <w:rPr>
      <w:b/>
      <w:bCs/>
    </w:rPr>
  </w:style>
  <w:style w:type="character" w:customStyle="1" w:styleId="CommentSubjectChar">
    <w:name w:val="Comment Subject Char"/>
    <w:basedOn w:val="CommentTextChar"/>
    <w:link w:val="CommentSubject"/>
    <w:uiPriority w:val="99"/>
    <w:semiHidden/>
    <w:rsid w:val="00A03FC4"/>
    <w:rPr>
      <w:b/>
      <w:bCs/>
      <w:sz w:val="20"/>
      <w:szCs w:val="20"/>
    </w:rPr>
  </w:style>
  <w:style w:type="character" w:styleId="FollowedHyperlink">
    <w:name w:val="FollowedHyperlink"/>
    <w:basedOn w:val="DefaultParagraphFont"/>
    <w:uiPriority w:val="99"/>
    <w:semiHidden/>
    <w:unhideWhenUsed/>
    <w:rsid w:val="00924A79"/>
    <w:rPr>
      <w:color w:val="954F72" w:themeColor="followedHyperlink"/>
      <w:u w:val="single"/>
    </w:rPr>
  </w:style>
  <w:style w:type="table" w:customStyle="1" w:styleId="14">
    <w:name w:val="14"/>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3">
    <w:name w:val="13"/>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12">
    <w:name w:val="12"/>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1">
    <w:name w:val="11"/>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10">
    <w:name w:val="10"/>
    <w:basedOn w:val="TableNormal"/>
    <w:pPr>
      <w:spacing w:after="0" w:line="240" w:lineRule="auto"/>
    </w:pPr>
    <w:tblPr>
      <w:tblStyleRowBandSize w:val="1"/>
      <w:tblStyleColBandSize w:val="1"/>
      <w:tblCellMar>
        <w:left w:w="115" w:type="dxa"/>
        <w:right w:w="115" w:type="dxa"/>
      </w:tblCellMar>
    </w:tblPr>
    <w:tcPr>
      <w:shd w:val="clear" w:color="auto" w:fill="E2EFD9"/>
    </w:tcPr>
  </w:style>
  <w:style w:type="table" w:customStyle="1" w:styleId="9">
    <w:name w:val="9"/>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customStyle="1" w:styleId="Heading7Char">
    <w:name w:val="Heading 7 Char"/>
    <w:basedOn w:val="DefaultParagraphFont"/>
    <w:link w:val="Heading7"/>
    <w:uiPriority w:val="9"/>
    <w:semiHidden/>
    <w:rsid w:val="0067048B"/>
    <w:rPr>
      <w:rFonts w:ascii="Aptos" w:eastAsiaTheme="majorEastAsia" w:hAnsi="Aptos" w:cstheme="majorBidi"/>
      <w:color w:val="595959" w:themeColor="text1" w:themeTint="A6"/>
      <w:sz w:val="22"/>
      <w:szCs w:val="22"/>
      <w:lang w:val="en-GB"/>
    </w:rPr>
  </w:style>
  <w:style w:type="character" w:customStyle="1" w:styleId="Heading8Char">
    <w:name w:val="Heading 8 Char"/>
    <w:basedOn w:val="DefaultParagraphFont"/>
    <w:link w:val="Heading8"/>
    <w:uiPriority w:val="9"/>
    <w:semiHidden/>
    <w:rsid w:val="0067048B"/>
    <w:rPr>
      <w:rFonts w:ascii="Aptos" w:eastAsiaTheme="majorEastAsia" w:hAnsi="Aptos" w:cstheme="majorBidi"/>
      <w:i/>
      <w:iCs/>
      <w:color w:val="272727" w:themeColor="text1" w:themeTint="D8"/>
      <w:sz w:val="22"/>
      <w:szCs w:val="22"/>
      <w:lang w:val="en-GB"/>
    </w:rPr>
  </w:style>
  <w:style w:type="character" w:customStyle="1" w:styleId="Heading9Char">
    <w:name w:val="Heading 9 Char"/>
    <w:basedOn w:val="DefaultParagraphFont"/>
    <w:link w:val="Heading9"/>
    <w:uiPriority w:val="9"/>
    <w:semiHidden/>
    <w:rsid w:val="0067048B"/>
    <w:rPr>
      <w:rFonts w:ascii="Aptos" w:eastAsiaTheme="majorEastAsia" w:hAnsi="Aptos" w:cstheme="majorBidi"/>
      <w:color w:val="272727" w:themeColor="text1" w:themeTint="D8"/>
      <w:sz w:val="22"/>
      <w:szCs w:val="22"/>
      <w:lang w:val="en-GB"/>
    </w:rPr>
  </w:style>
  <w:style w:type="character" w:customStyle="1" w:styleId="Heading3Char">
    <w:name w:val="Heading 3 Char"/>
    <w:basedOn w:val="DefaultParagraphFont"/>
    <w:link w:val="Heading3"/>
    <w:uiPriority w:val="9"/>
    <w:rsid w:val="00935F69"/>
    <w:rPr>
      <w:b/>
      <w:bCs/>
      <w:color w:val="44841A"/>
      <w:lang w:val="en-GB"/>
    </w:rPr>
  </w:style>
  <w:style w:type="character" w:customStyle="1" w:styleId="Heading4Char">
    <w:name w:val="Heading 4 Char"/>
    <w:basedOn w:val="DefaultParagraphFont"/>
    <w:link w:val="Heading4"/>
    <w:uiPriority w:val="9"/>
    <w:rsid w:val="008A27D6"/>
    <w:rPr>
      <w:color w:val="44841A"/>
    </w:rPr>
  </w:style>
  <w:style w:type="character" w:customStyle="1" w:styleId="Heading5Char">
    <w:name w:val="Heading 5 Char"/>
    <w:basedOn w:val="DefaultParagraphFont"/>
    <w:link w:val="Heading5"/>
    <w:uiPriority w:val="9"/>
    <w:rsid w:val="0067048B"/>
    <w:rPr>
      <w:b/>
    </w:rPr>
  </w:style>
  <w:style w:type="character" w:customStyle="1" w:styleId="Heading6Char">
    <w:name w:val="Heading 6 Char"/>
    <w:basedOn w:val="DefaultParagraphFont"/>
    <w:link w:val="Heading6"/>
    <w:uiPriority w:val="9"/>
    <w:semiHidden/>
    <w:rsid w:val="0067048B"/>
    <w:rPr>
      <w:b/>
      <w:sz w:val="20"/>
      <w:szCs w:val="20"/>
    </w:rPr>
  </w:style>
  <w:style w:type="character" w:customStyle="1" w:styleId="TitleChar">
    <w:name w:val="Title Char"/>
    <w:basedOn w:val="DefaultParagraphFont"/>
    <w:link w:val="Title"/>
    <w:uiPriority w:val="10"/>
    <w:rsid w:val="0067048B"/>
    <w:rPr>
      <w:b/>
      <w:sz w:val="72"/>
      <w:szCs w:val="72"/>
    </w:rPr>
  </w:style>
  <w:style w:type="character" w:customStyle="1" w:styleId="SubtitleChar">
    <w:name w:val="Subtitle Char"/>
    <w:basedOn w:val="DefaultParagraphFont"/>
    <w:link w:val="Subtitle"/>
    <w:uiPriority w:val="11"/>
    <w:rsid w:val="0067048B"/>
    <w:rPr>
      <w:rFonts w:ascii="Georgia" w:eastAsia="Georgia" w:hAnsi="Georgia" w:cs="Georgia"/>
      <w:i/>
      <w:color w:val="666666"/>
      <w:sz w:val="48"/>
      <w:szCs w:val="48"/>
    </w:rPr>
  </w:style>
  <w:style w:type="character" w:styleId="IntenseEmphasis">
    <w:name w:val="Intense Emphasis"/>
    <w:basedOn w:val="DefaultParagraphFont"/>
    <w:uiPriority w:val="21"/>
    <w:qFormat/>
    <w:rsid w:val="0067048B"/>
    <w:rPr>
      <w:i/>
      <w:iCs/>
      <w:color w:val="2F5496" w:themeColor="accent1" w:themeShade="BF"/>
    </w:rPr>
  </w:style>
  <w:style w:type="paragraph" w:styleId="IntenseQuote">
    <w:name w:val="Intense Quote"/>
    <w:basedOn w:val="Normal"/>
    <w:next w:val="Normal"/>
    <w:link w:val="IntenseQuoteChar"/>
    <w:uiPriority w:val="30"/>
    <w:qFormat/>
    <w:rsid w:val="0067048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Aptos" w:eastAsia="Aptos" w:hAnsi="Aptos" w:cs="Aptos"/>
      <w:i/>
      <w:iCs/>
      <w:color w:val="2F5496" w:themeColor="accent1" w:themeShade="BF"/>
      <w:sz w:val="22"/>
      <w:szCs w:val="22"/>
    </w:rPr>
  </w:style>
  <w:style w:type="character" w:customStyle="1" w:styleId="IntenseQuoteChar">
    <w:name w:val="Intense Quote Char"/>
    <w:basedOn w:val="DefaultParagraphFont"/>
    <w:link w:val="IntenseQuote"/>
    <w:uiPriority w:val="30"/>
    <w:rsid w:val="0067048B"/>
    <w:rPr>
      <w:rFonts w:ascii="Aptos" w:eastAsia="Aptos" w:hAnsi="Aptos" w:cs="Aptos"/>
      <w:i/>
      <w:iCs/>
      <w:color w:val="2F5496" w:themeColor="accent1" w:themeShade="BF"/>
      <w:sz w:val="22"/>
      <w:szCs w:val="22"/>
      <w:lang w:val="en-GB"/>
    </w:rPr>
  </w:style>
  <w:style w:type="character" w:styleId="IntenseReference">
    <w:name w:val="Intense Reference"/>
    <w:basedOn w:val="DefaultParagraphFont"/>
    <w:uiPriority w:val="32"/>
    <w:qFormat/>
    <w:rsid w:val="0067048B"/>
    <w:rPr>
      <w:b/>
      <w:bCs/>
      <w:smallCaps/>
      <w:color w:val="2F5496" w:themeColor="accent1" w:themeShade="BF"/>
      <w:spacing w:val="5"/>
    </w:rPr>
  </w:style>
  <w:style w:type="table" w:styleId="GridTable1Light">
    <w:name w:val="Grid Table 1 Light"/>
    <w:basedOn w:val="TableNormal"/>
    <w:uiPriority w:val="46"/>
    <w:rsid w:val="0067048B"/>
    <w:pPr>
      <w:spacing w:after="0" w:line="240" w:lineRule="auto"/>
      <w:jc w:val="left"/>
    </w:pPr>
    <w:rPr>
      <w:rFonts w:ascii="Aptos" w:eastAsia="Aptos" w:hAnsi="Aptos" w:cs="Aptos"/>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7048B"/>
    <w:rPr>
      <w:color w:val="605E5C"/>
      <w:shd w:val="clear" w:color="auto" w:fill="E1DFDD"/>
    </w:rPr>
  </w:style>
  <w:style w:type="character" w:styleId="Strong">
    <w:name w:val="Strong"/>
    <w:basedOn w:val="DefaultParagraphFont"/>
    <w:uiPriority w:val="22"/>
    <w:qFormat/>
    <w:rsid w:val="0067048B"/>
    <w:rPr>
      <w:b/>
      <w:bCs/>
    </w:rPr>
  </w:style>
  <w:style w:type="paragraph" w:styleId="TOCHeading">
    <w:name w:val="TOC Heading"/>
    <w:basedOn w:val="Heading1"/>
    <w:next w:val="Normal"/>
    <w:uiPriority w:val="39"/>
    <w:unhideWhenUsed/>
    <w:qFormat/>
    <w:rsid w:val="0067048B"/>
    <w:pPr>
      <w:keepNext/>
      <w:keepLines/>
      <w:spacing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ableofFigures">
    <w:name w:val="table of figures"/>
    <w:basedOn w:val="Normal"/>
    <w:next w:val="Normal"/>
    <w:uiPriority w:val="99"/>
    <w:unhideWhenUsed/>
    <w:rsid w:val="0067048B"/>
    <w:pPr>
      <w:spacing w:after="0" w:line="259" w:lineRule="auto"/>
      <w:jc w:val="left"/>
    </w:pPr>
    <w:rPr>
      <w:rFonts w:ascii="Aptos" w:eastAsia="Aptos" w:hAnsi="Aptos" w:cs="Aptos"/>
      <w:sz w:val="22"/>
      <w:szCs w:val="22"/>
    </w:rPr>
  </w:style>
  <w:style w:type="paragraph" w:styleId="Revision">
    <w:name w:val="Revision"/>
    <w:hidden/>
    <w:uiPriority w:val="99"/>
    <w:semiHidden/>
    <w:rsid w:val="00751BBD"/>
    <w:pPr>
      <w:spacing w:after="0" w:line="240" w:lineRule="auto"/>
      <w:jc w:val="left"/>
    </w:p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NoSpacing">
    <w:name w:val="No Spacing"/>
    <w:link w:val="NoSpacingChar"/>
    <w:uiPriority w:val="1"/>
    <w:rsid w:val="008A1583"/>
    <w:pPr>
      <w:spacing w:after="0" w:line="240" w:lineRule="auto"/>
      <w:jc w:val="left"/>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8A1583"/>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071515"/>
    <w:pPr>
      <w:spacing w:after="100"/>
      <w:ind w:left="720"/>
    </w:pPr>
  </w:style>
  <w:style w:type="table" w:styleId="PlainTable2">
    <w:name w:val="Plain Table 2"/>
    <w:basedOn w:val="TableNormal"/>
    <w:uiPriority w:val="42"/>
    <w:rsid w:val="00EE50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
    <w:name w:val="4"/>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jc w:val="left"/>
    </w:pPr>
    <w:rPr>
      <w:rFonts w:ascii="Aptos" w:eastAsia="Aptos" w:hAnsi="Aptos" w:cs="Aptos"/>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B626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48919">
      <w:bodyDiv w:val="1"/>
      <w:marLeft w:val="0"/>
      <w:marRight w:val="0"/>
      <w:marTop w:val="0"/>
      <w:marBottom w:val="0"/>
      <w:divBdr>
        <w:top w:val="none" w:sz="0" w:space="0" w:color="auto"/>
        <w:left w:val="none" w:sz="0" w:space="0" w:color="auto"/>
        <w:bottom w:val="none" w:sz="0" w:space="0" w:color="auto"/>
        <w:right w:val="none" w:sz="0" w:space="0" w:color="auto"/>
      </w:divBdr>
    </w:div>
    <w:div w:id="246112285">
      <w:bodyDiv w:val="1"/>
      <w:marLeft w:val="0"/>
      <w:marRight w:val="0"/>
      <w:marTop w:val="0"/>
      <w:marBottom w:val="0"/>
      <w:divBdr>
        <w:top w:val="none" w:sz="0" w:space="0" w:color="auto"/>
        <w:left w:val="none" w:sz="0" w:space="0" w:color="auto"/>
        <w:bottom w:val="none" w:sz="0" w:space="0" w:color="auto"/>
        <w:right w:val="none" w:sz="0" w:space="0" w:color="auto"/>
      </w:divBdr>
    </w:div>
    <w:div w:id="313684050">
      <w:bodyDiv w:val="1"/>
      <w:marLeft w:val="0"/>
      <w:marRight w:val="0"/>
      <w:marTop w:val="0"/>
      <w:marBottom w:val="0"/>
      <w:divBdr>
        <w:top w:val="none" w:sz="0" w:space="0" w:color="auto"/>
        <w:left w:val="none" w:sz="0" w:space="0" w:color="auto"/>
        <w:bottom w:val="none" w:sz="0" w:space="0" w:color="auto"/>
        <w:right w:val="none" w:sz="0" w:space="0" w:color="auto"/>
      </w:divBdr>
    </w:div>
    <w:div w:id="566842543">
      <w:bodyDiv w:val="1"/>
      <w:marLeft w:val="0"/>
      <w:marRight w:val="0"/>
      <w:marTop w:val="0"/>
      <w:marBottom w:val="0"/>
      <w:divBdr>
        <w:top w:val="none" w:sz="0" w:space="0" w:color="auto"/>
        <w:left w:val="none" w:sz="0" w:space="0" w:color="auto"/>
        <w:bottom w:val="none" w:sz="0" w:space="0" w:color="auto"/>
        <w:right w:val="none" w:sz="0" w:space="0" w:color="auto"/>
      </w:divBdr>
    </w:div>
    <w:div w:id="838740622">
      <w:bodyDiv w:val="1"/>
      <w:marLeft w:val="0"/>
      <w:marRight w:val="0"/>
      <w:marTop w:val="0"/>
      <w:marBottom w:val="0"/>
      <w:divBdr>
        <w:top w:val="none" w:sz="0" w:space="0" w:color="auto"/>
        <w:left w:val="none" w:sz="0" w:space="0" w:color="auto"/>
        <w:bottom w:val="none" w:sz="0" w:space="0" w:color="auto"/>
        <w:right w:val="none" w:sz="0" w:space="0" w:color="auto"/>
      </w:divBdr>
    </w:div>
    <w:div w:id="902328272">
      <w:bodyDiv w:val="1"/>
      <w:marLeft w:val="0"/>
      <w:marRight w:val="0"/>
      <w:marTop w:val="0"/>
      <w:marBottom w:val="0"/>
      <w:divBdr>
        <w:top w:val="none" w:sz="0" w:space="0" w:color="auto"/>
        <w:left w:val="none" w:sz="0" w:space="0" w:color="auto"/>
        <w:bottom w:val="none" w:sz="0" w:space="0" w:color="auto"/>
        <w:right w:val="none" w:sz="0" w:space="0" w:color="auto"/>
      </w:divBdr>
      <w:divsChild>
        <w:div w:id="879320627">
          <w:blockQuote w:val="1"/>
          <w:marLeft w:val="0"/>
          <w:marRight w:val="0"/>
          <w:marTop w:val="0"/>
          <w:marBottom w:val="0"/>
          <w:divBdr>
            <w:top w:val="none" w:sz="0" w:space="0" w:color="auto"/>
            <w:left w:val="single" w:sz="6" w:space="18" w:color="707070"/>
            <w:bottom w:val="none" w:sz="0" w:space="0" w:color="auto"/>
            <w:right w:val="none" w:sz="0" w:space="0" w:color="auto"/>
          </w:divBdr>
        </w:div>
        <w:div w:id="1953707590">
          <w:blockQuote w:val="1"/>
          <w:marLeft w:val="0"/>
          <w:marRight w:val="0"/>
          <w:marTop w:val="0"/>
          <w:marBottom w:val="0"/>
          <w:divBdr>
            <w:top w:val="none" w:sz="0" w:space="0" w:color="auto"/>
            <w:left w:val="single" w:sz="6" w:space="18" w:color="707070"/>
            <w:bottom w:val="none" w:sz="0" w:space="0" w:color="auto"/>
            <w:right w:val="none" w:sz="0" w:space="0" w:color="auto"/>
          </w:divBdr>
        </w:div>
        <w:div w:id="881357771">
          <w:blockQuote w:val="1"/>
          <w:marLeft w:val="0"/>
          <w:marRight w:val="0"/>
          <w:marTop w:val="0"/>
          <w:marBottom w:val="0"/>
          <w:divBdr>
            <w:top w:val="none" w:sz="0" w:space="0" w:color="auto"/>
            <w:left w:val="single" w:sz="6" w:space="18" w:color="707070"/>
            <w:bottom w:val="none" w:sz="0" w:space="0" w:color="auto"/>
            <w:right w:val="none" w:sz="0" w:space="0" w:color="auto"/>
          </w:divBdr>
        </w:div>
        <w:div w:id="163632907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86320631">
      <w:bodyDiv w:val="1"/>
      <w:marLeft w:val="0"/>
      <w:marRight w:val="0"/>
      <w:marTop w:val="0"/>
      <w:marBottom w:val="0"/>
      <w:divBdr>
        <w:top w:val="none" w:sz="0" w:space="0" w:color="auto"/>
        <w:left w:val="none" w:sz="0" w:space="0" w:color="auto"/>
        <w:bottom w:val="none" w:sz="0" w:space="0" w:color="auto"/>
        <w:right w:val="none" w:sz="0" w:space="0" w:color="auto"/>
      </w:divBdr>
    </w:div>
    <w:div w:id="1741053837">
      <w:bodyDiv w:val="1"/>
      <w:marLeft w:val="0"/>
      <w:marRight w:val="0"/>
      <w:marTop w:val="0"/>
      <w:marBottom w:val="0"/>
      <w:divBdr>
        <w:top w:val="none" w:sz="0" w:space="0" w:color="auto"/>
        <w:left w:val="none" w:sz="0" w:space="0" w:color="auto"/>
        <w:bottom w:val="none" w:sz="0" w:space="0" w:color="auto"/>
        <w:right w:val="none" w:sz="0" w:space="0" w:color="auto"/>
      </w:divBdr>
    </w:div>
    <w:div w:id="1915233907">
      <w:bodyDiv w:val="1"/>
      <w:marLeft w:val="0"/>
      <w:marRight w:val="0"/>
      <w:marTop w:val="0"/>
      <w:marBottom w:val="0"/>
      <w:divBdr>
        <w:top w:val="none" w:sz="0" w:space="0" w:color="auto"/>
        <w:left w:val="none" w:sz="0" w:space="0" w:color="auto"/>
        <w:bottom w:val="none" w:sz="0" w:space="0" w:color="auto"/>
        <w:right w:val="none" w:sz="0" w:space="0" w:color="auto"/>
      </w:divBdr>
    </w:div>
    <w:div w:id="2000385301">
      <w:bodyDiv w:val="1"/>
      <w:marLeft w:val="0"/>
      <w:marRight w:val="0"/>
      <w:marTop w:val="0"/>
      <w:marBottom w:val="0"/>
      <w:divBdr>
        <w:top w:val="none" w:sz="0" w:space="0" w:color="auto"/>
        <w:left w:val="none" w:sz="0" w:space="0" w:color="auto"/>
        <w:bottom w:val="none" w:sz="0" w:space="0" w:color="auto"/>
        <w:right w:val="none" w:sz="0" w:space="0" w:color="auto"/>
      </w:divBdr>
    </w:div>
    <w:div w:id="2120296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restrdinstitute@gmail.com" TargetMode="External"/><Relationship Id="rId18" Type="http://schemas.openxmlformats.org/officeDocument/2006/relationships/hyperlink" Target="http://www.facebook.com/cradihq" TargetMode="External"/><Relationship Id="rId26" Type="http://schemas.openxmlformats.org/officeDocument/2006/relationships/chart" Target="charts/chart2.xml"/><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hyperlink" Target="https://acsdhr.bo.gov.ng/bosdp/overview%20of%20borno%20state's%2025%20year%20development%20frame%20&amp;%2010%20years%20strategic%20transformation%20plan.pdf"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8.xml"/><Relationship Id="rId37" Type="http://schemas.openxmlformats.org/officeDocument/2006/relationships/footer" Target="footer2.xml"/><Relationship Id="rId40" Type="http://schemas.openxmlformats.org/officeDocument/2006/relationships/hyperlink" Target="https://agorapolicy.org/research/policy-platform/210-despite-recent-progress-nigeria-needs-more-action-on-disability-inclusion.html" TargetMode="External"/><Relationship Id="rId45" Type="http://schemas.openxmlformats.org/officeDocument/2006/relationships/hyperlink" Target="https://www.giz.de/en/worldwide/137651.html" TargetMode="External"/><Relationship Id="rId5" Type="http://schemas.openxmlformats.org/officeDocument/2006/relationships/settings" Target="settings.xml"/><Relationship Id="rId15" Type="http://schemas.openxmlformats.org/officeDocument/2006/relationships/hyperlink" Target="http://www.cradil.org/" TargetMode="Externa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chart" Target="charts/chart7.xml"/><Relationship Id="rId44" Type="http://schemas.openxmlformats.org/officeDocument/2006/relationships/hyperlink" Target="https://nationalplanning.gov.ng/wp-content/uploads/2021/12/NDP-2021-2025_AA_FINAL_PRINTING.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2.xml"/><Relationship Id="rId43" Type="http://schemas.openxmlformats.org/officeDocument/2006/relationships/hyperlink" Target="https://www.bmz.de/en/countries/nigeria/resilience-social-cohesion-programme-125612" TargetMode="External"/><Relationship Id="rId48"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dmin@cradil.org" TargetMode="External"/><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eader" Target="header3.xml"/><Relationship Id="rId46" Type="http://schemas.openxmlformats.org/officeDocument/2006/relationships/hyperlink" Target="https://www.undp.org/publications/strengthening-centres-government-fragile-and-conflict-affected-settings" TargetMode="External"/><Relationship Id="rId20" Type="http://schemas.openxmlformats.org/officeDocument/2006/relationships/hyperlink" Target="http://www.linkedin.com/company/cradi-hq" TargetMode="External"/><Relationship Id="rId41" Type="http://schemas.openxmlformats.org/officeDocument/2006/relationships/hyperlink" Target="https://adspc.ad.gov.ng/wp-content/uploads/2024/01/Signed-Adamawa-State-CEPP-Policy.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doi/10.1177/1098214010373646" TargetMode="External"/><Relationship Id="rId2" Type="http://schemas.openxmlformats.org/officeDocument/2006/relationships/hyperlink" Target="https://adspc.ad.gov.ng/wp-content/uploads/2024/01/Signed-Adamawa-State-CEPP-Policy.pdf" TargetMode="External"/><Relationship Id="rId1" Type="http://schemas.openxmlformats.org/officeDocument/2006/relationships/hyperlink" Target="https://dtm.iom.int/datasets/nigeria-site-assessment-round-46-north-east-idps" TargetMode="External"/><Relationship Id="rId4" Type="http://schemas.openxmlformats.org/officeDocument/2006/relationships/hyperlink" Target="https://collegepublishing.sagepub.com/products/designing-and-conducting-mixed-methods-research-3-24184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D766A10401D4B376/OXFAM_SURVEY_FINAL_Jud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D766A10401D4B376/OXFAM_SURVEY_FINAL_Jud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D766A10401D4B376/OXFAM_SURVEY_FINAL_Jud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My%20Drive\Consultancies\CRADIL\Oxfam%20baseline\Complete%20Analysis\MRTab.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H:\My%20Drive\Consultancies\CRADIL\Oxfam%20baseline\Complete%20Analysis\MRTab.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D766A10401D4B376/OXFAM_SURVEY_FINAL_Jude.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JUDE%20ILOGBELU\CRADI%20ACTIONS\Francis%20K\OXFAM_SURVEY_FINAL_Jude.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My%20Drive\Consultancies\CRADIL\Oxfam%20baseline\Complete%20Analysis\MRTab.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H:\My%20Drive\Consultancies\CRADIL\Oxfam%20baseline\Complete%20Analysis\MRTab.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[OXFAM_SURVEY_FINAL_Jude.xlsx]Pivot!PivotTable40</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888888"/>
          </a:solidFill>
          <a:ln>
            <a:noFill/>
          </a:ln>
          <a:effectLst/>
        </c:spPr>
      </c:pivotFmt>
      <c:pivotFmt>
        <c:idx val="2"/>
        <c:spPr>
          <a:solidFill>
            <a:srgbClr val="E30613"/>
          </a:solidFill>
          <a:ln>
            <a:noFill/>
          </a:ln>
          <a:effectLst/>
        </c:spPr>
      </c:pivotFmt>
      <c:pivotFmt>
        <c:idx val="3"/>
        <c:spPr>
          <a:solidFill>
            <a:srgbClr val="FFC000"/>
          </a:solidFill>
          <a:ln>
            <a:noFill/>
          </a:ln>
          <a:effectLst/>
        </c:spPr>
      </c:pivotFmt>
      <c:pivotFmt>
        <c:idx val="4"/>
        <c:spPr>
          <a:solidFill>
            <a:srgbClr val="88888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888888"/>
          </a:solidFill>
          <a:ln>
            <a:noFill/>
          </a:ln>
          <a:effectLst/>
        </c:spPr>
      </c:pivotFmt>
      <c:pivotFmt>
        <c:idx val="6"/>
        <c:spPr>
          <a:solidFill>
            <a:srgbClr val="E30613"/>
          </a:solidFill>
          <a:ln>
            <a:noFill/>
          </a:ln>
          <a:effectLst/>
        </c:spPr>
      </c:pivotFmt>
      <c:pivotFmt>
        <c:idx val="7"/>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pivotFmt>
      <c:pivotFmt>
        <c:idx val="9"/>
        <c:spPr>
          <a:solidFill>
            <a:srgbClr val="FFC000"/>
          </a:solidFill>
          <a:ln>
            <a:noFill/>
          </a:ln>
          <a:effectLst/>
        </c:spPr>
      </c:pivotFmt>
      <c:pivotFmt>
        <c:idx val="10"/>
        <c:spPr>
          <a:solidFill>
            <a:srgbClr val="FFC000"/>
          </a:solidFill>
          <a:ln>
            <a:noFill/>
          </a:ln>
          <a:effectLst/>
        </c:spPr>
      </c:pivotFmt>
      <c:pivotFmt>
        <c:idx val="11"/>
        <c:spPr>
          <a:solidFill>
            <a:srgbClr val="80C34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80C342"/>
          </a:solidFill>
          <a:ln>
            <a:noFill/>
          </a:ln>
          <a:effectLst/>
        </c:spPr>
      </c:pivotFmt>
      <c:pivotFmt>
        <c:idx val="1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FFFF"/>
          </a:solidFill>
          <a:ln>
            <a:solidFill>
              <a:srgbClr val="92D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noFill/>
          </a:ln>
          <a:effectLst/>
        </c:spPr>
      </c:pivotFmt>
      <c:pivotFmt>
        <c:idx val="18"/>
        <c:spPr>
          <a:solidFill>
            <a:srgbClr val="708090"/>
          </a:solidFill>
          <a:ln>
            <a:noFill/>
          </a:ln>
          <a:effectLst/>
        </c:spPr>
      </c:pivotFmt>
      <c:pivotFmt>
        <c:idx val="1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44841A"/>
          </a:solidFill>
          <a:ln>
            <a:noFill/>
          </a:ln>
          <a:effectLst/>
        </c:spPr>
      </c:pivotFmt>
      <c:pivotFmt>
        <c:idx val="21"/>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pivotFmt>
      <c:pivotFmt>
        <c:idx val="24"/>
      </c:pivotFmt>
      <c:pivotFmt>
        <c:idx val="2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pivotFmt>
      <c:pivotFmt>
        <c:idx val="27"/>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3409263477600606E-2"/>
          <c:y val="6.2454466479895158E-2"/>
          <c:w val="0.94487589974503106"/>
          <c:h val="0.6162512452023865"/>
        </c:manualLayout>
      </c:layout>
      <c:barChart>
        <c:barDir val="col"/>
        <c:grouping val="clustered"/>
        <c:varyColors val="1"/>
        <c:ser>
          <c:idx val="0"/>
          <c:order val="0"/>
          <c:tx>
            <c:strRef>
              <c:f>Pivot!$B$103:$B$104</c:f>
              <c:strCache>
                <c:ptCount val="1"/>
                <c:pt idx="0">
                  <c:v>Biu</c:v>
                </c:pt>
              </c:strCache>
            </c:strRef>
          </c:tx>
          <c:spPr>
            <a:solidFill>
              <a:srgbClr val="708090"/>
            </a:solidFill>
            <a:ln>
              <a:noFill/>
            </a:ln>
            <a:effectLst/>
          </c:spPr>
          <c:invertIfNegative val="0"/>
          <c:dPt>
            <c:idx val="0"/>
            <c:invertIfNegative val="0"/>
            <c:bubble3D val="0"/>
            <c:extLst>
              <c:ext xmlns:c16="http://schemas.microsoft.com/office/drawing/2014/chart" uri="{C3380CC4-5D6E-409C-BE32-E72D297353CC}">
                <c16:uniqueId val="{00000000-A70D-416A-A60D-6B1E315F18B5}"/>
              </c:ext>
            </c:extLst>
          </c:dPt>
          <c:dPt>
            <c:idx val="1"/>
            <c:invertIfNegative val="0"/>
            <c:bubble3D val="0"/>
            <c:extLst>
              <c:ext xmlns:c16="http://schemas.microsoft.com/office/drawing/2014/chart" uri="{C3380CC4-5D6E-409C-BE32-E72D297353CC}">
                <c16:uniqueId val="{00000001-A70D-416A-A60D-6B1E315F18B5}"/>
              </c:ext>
            </c:extLst>
          </c:dPt>
          <c:dPt>
            <c:idx val="2"/>
            <c:invertIfNegative val="0"/>
            <c:bubble3D val="0"/>
            <c:extLst>
              <c:ext xmlns:c16="http://schemas.microsoft.com/office/drawing/2014/chart" uri="{C3380CC4-5D6E-409C-BE32-E72D297353CC}">
                <c16:uniqueId val="{00000002-A70D-416A-A60D-6B1E315F18B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Pivot!$A$105:$A$112</c:f>
              <c:strCache>
                <c:ptCount val="7"/>
                <c:pt idx="0">
                  <c:v>Postgraduate (PGD, Master's, PhD, etc.) </c:v>
                </c:pt>
                <c:pt idx="1">
                  <c:v>HND/BSc </c:v>
                </c:pt>
                <c:pt idx="2">
                  <c:v>OND, ND, NCE  </c:v>
                </c:pt>
                <c:pt idx="3">
                  <c:v>Secondary Education </c:v>
                </c:pt>
                <c:pt idx="4">
                  <c:v>Quranic Education </c:v>
                </c:pt>
                <c:pt idx="5">
                  <c:v>Primary education </c:v>
                </c:pt>
                <c:pt idx="6">
                  <c:v>No qualification  </c:v>
                </c:pt>
              </c:strCache>
            </c:strRef>
          </c:cat>
          <c:val>
            <c:numRef>
              <c:f>Pivot!$B$105:$B$112</c:f>
              <c:numCache>
                <c:formatCode>0%</c:formatCode>
                <c:ptCount val="7"/>
                <c:pt idx="0">
                  <c:v>1.1764705882352941E-2</c:v>
                </c:pt>
                <c:pt idx="1">
                  <c:v>5.2941176470588235E-2</c:v>
                </c:pt>
                <c:pt idx="2">
                  <c:v>0.16470588235294117</c:v>
                </c:pt>
                <c:pt idx="3">
                  <c:v>0.3235294117647059</c:v>
                </c:pt>
                <c:pt idx="4">
                  <c:v>0.15294117647058825</c:v>
                </c:pt>
                <c:pt idx="5">
                  <c:v>0.1</c:v>
                </c:pt>
                <c:pt idx="6">
                  <c:v>0.19411764705882353</c:v>
                </c:pt>
              </c:numCache>
            </c:numRef>
          </c:val>
          <c:extLst>
            <c:ext xmlns:c16="http://schemas.microsoft.com/office/drawing/2014/chart" uri="{C3380CC4-5D6E-409C-BE32-E72D297353CC}">
              <c16:uniqueId val="{00000003-A70D-416A-A60D-6B1E315F18B5}"/>
            </c:ext>
          </c:extLst>
        </c:ser>
        <c:ser>
          <c:idx val="1"/>
          <c:order val="1"/>
          <c:tx>
            <c:strRef>
              <c:f>Pivot!$C$103:$C$104</c:f>
              <c:strCache>
                <c:ptCount val="1"/>
                <c:pt idx="0">
                  <c:v>Guyuk</c:v>
                </c:pt>
              </c:strCache>
            </c:strRef>
          </c:tx>
          <c:spPr>
            <a:solidFill>
              <a:srgbClr val="44841A"/>
            </a:solidFill>
            <a:ln>
              <a:noFill/>
            </a:ln>
            <a:effectLst/>
          </c:spPr>
          <c:invertIfNegative val="0"/>
          <c:dPt>
            <c:idx val="0"/>
            <c:invertIfNegative val="0"/>
            <c:bubble3D val="0"/>
            <c:extLst>
              <c:ext xmlns:c16="http://schemas.microsoft.com/office/drawing/2014/chart" uri="{C3380CC4-5D6E-409C-BE32-E72D297353CC}">
                <c16:uniqueId val="{00000004-A70D-416A-A60D-6B1E315F18B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Pivot!$A$105:$A$112</c:f>
              <c:strCache>
                <c:ptCount val="7"/>
                <c:pt idx="0">
                  <c:v>Postgraduate (PGD, Master's, PhD, etc.) </c:v>
                </c:pt>
                <c:pt idx="1">
                  <c:v>HND/BSc </c:v>
                </c:pt>
                <c:pt idx="2">
                  <c:v>OND, ND, NCE  </c:v>
                </c:pt>
                <c:pt idx="3">
                  <c:v>Secondary Education </c:v>
                </c:pt>
                <c:pt idx="4">
                  <c:v>Quranic Education </c:v>
                </c:pt>
                <c:pt idx="5">
                  <c:v>Primary education </c:v>
                </c:pt>
                <c:pt idx="6">
                  <c:v>No qualification  </c:v>
                </c:pt>
              </c:strCache>
            </c:strRef>
          </c:cat>
          <c:val>
            <c:numRef>
              <c:f>Pivot!$C$105:$C$112</c:f>
              <c:numCache>
                <c:formatCode>0%</c:formatCode>
                <c:ptCount val="7"/>
                <c:pt idx="0">
                  <c:v>0</c:v>
                </c:pt>
                <c:pt idx="1">
                  <c:v>3.864734299516908E-2</c:v>
                </c:pt>
                <c:pt idx="2">
                  <c:v>0.17391304347826086</c:v>
                </c:pt>
                <c:pt idx="3">
                  <c:v>0.49758454106280192</c:v>
                </c:pt>
                <c:pt idx="4">
                  <c:v>3.864734299516908E-2</c:v>
                </c:pt>
                <c:pt idx="5">
                  <c:v>0.17874396135265699</c:v>
                </c:pt>
                <c:pt idx="6">
                  <c:v>7.2463768115942032E-2</c:v>
                </c:pt>
              </c:numCache>
            </c:numRef>
          </c:val>
          <c:extLst>
            <c:ext xmlns:c16="http://schemas.microsoft.com/office/drawing/2014/chart" uri="{C3380CC4-5D6E-409C-BE32-E72D297353CC}">
              <c16:uniqueId val="{00000005-A70D-416A-A60D-6B1E315F18B5}"/>
            </c:ext>
          </c:extLst>
        </c:ser>
        <c:ser>
          <c:idx val="2"/>
          <c:order val="2"/>
          <c:tx>
            <c:strRef>
              <c:f>Pivot!$D$103:$D$104</c:f>
              <c:strCache>
                <c:ptCount val="1"/>
                <c:pt idx="0">
                  <c:v>Kwaya Kusar</c:v>
                </c:pt>
              </c:strCache>
            </c:strRef>
          </c:tx>
          <c:spPr>
            <a:solidFill>
              <a:srgbClr val="0060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Pivot!$A$105:$A$112</c:f>
              <c:strCache>
                <c:ptCount val="7"/>
                <c:pt idx="0">
                  <c:v>Postgraduate (PGD, Master's, PhD, etc.) </c:v>
                </c:pt>
                <c:pt idx="1">
                  <c:v>HND/BSc </c:v>
                </c:pt>
                <c:pt idx="2">
                  <c:v>OND, ND, NCE  </c:v>
                </c:pt>
                <c:pt idx="3">
                  <c:v>Secondary Education </c:v>
                </c:pt>
                <c:pt idx="4">
                  <c:v>Quranic Education </c:v>
                </c:pt>
                <c:pt idx="5">
                  <c:v>Primary education </c:v>
                </c:pt>
                <c:pt idx="6">
                  <c:v>No qualification  </c:v>
                </c:pt>
              </c:strCache>
            </c:strRef>
          </c:cat>
          <c:val>
            <c:numRef>
              <c:f>Pivot!$D$105:$D$112</c:f>
              <c:numCache>
                <c:formatCode>0%</c:formatCode>
                <c:ptCount val="7"/>
                <c:pt idx="0">
                  <c:v>0</c:v>
                </c:pt>
                <c:pt idx="1">
                  <c:v>3.3898305084745763E-2</c:v>
                </c:pt>
                <c:pt idx="2">
                  <c:v>0.13559322033898305</c:v>
                </c:pt>
                <c:pt idx="3">
                  <c:v>0.25423728813559321</c:v>
                </c:pt>
                <c:pt idx="4">
                  <c:v>0.16949152542372881</c:v>
                </c:pt>
                <c:pt idx="5">
                  <c:v>0.22033898305084745</c:v>
                </c:pt>
                <c:pt idx="6">
                  <c:v>0.1864406779661017</c:v>
                </c:pt>
              </c:numCache>
            </c:numRef>
          </c:val>
          <c:extLst>
            <c:ext xmlns:c16="http://schemas.microsoft.com/office/drawing/2014/chart" uri="{C3380CC4-5D6E-409C-BE32-E72D297353CC}">
              <c16:uniqueId val="{00000006-A70D-416A-A60D-6B1E315F18B5}"/>
            </c:ext>
          </c:extLst>
        </c:ser>
        <c:dLbls>
          <c:dLblPos val="outEnd"/>
          <c:showLegendKey val="0"/>
          <c:showVal val="1"/>
          <c:showCatName val="0"/>
          <c:showSerName val="0"/>
          <c:showPercent val="0"/>
          <c:showBubbleSize val="0"/>
        </c:dLbls>
        <c:gapWidth val="219"/>
        <c:overlap val="-27"/>
        <c:axId val="1751594304"/>
        <c:axId val="1751592224"/>
      </c:barChart>
      <c:catAx>
        <c:axId val="1751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751592224"/>
        <c:crosses val="autoZero"/>
        <c:auto val="1"/>
        <c:lblAlgn val="ctr"/>
        <c:lblOffset val="100"/>
        <c:noMultiLvlLbl val="0"/>
      </c:catAx>
      <c:valAx>
        <c:axId val="1751592224"/>
        <c:scaling>
          <c:orientation val="minMax"/>
        </c:scaling>
        <c:delete val="1"/>
        <c:axPos val="l"/>
        <c:numFmt formatCode="0%" sourceLinked="1"/>
        <c:majorTickMark val="none"/>
        <c:minorTickMark val="none"/>
        <c:tickLblPos val="nextTo"/>
        <c:crossAx val="17515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chart>
  <c:spPr>
    <a:solidFill>
      <a:schemeClr val="bg1"/>
    </a:solidFill>
    <a:ln w="0" cap="flat" cmpd="sng" algn="ctr">
      <a:solidFill>
        <a:sysClr val="windowText" lastClr="000000">
          <a:lumMod val="15000"/>
          <a:lumOff val="85000"/>
        </a:sys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[OXFAM_SURVEY_FINAL_Jude.xlsx]Pivot!PivotTable34</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888888"/>
          </a:solidFill>
          <a:ln>
            <a:noFill/>
          </a:ln>
          <a:effectLst/>
        </c:spPr>
      </c:pivotFmt>
      <c:pivotFmt>
        <c:idx val="2"/>
        <c:spPr>
          <a:solidFill>
            <a:srgbClr val="E30613"/>
          </a:solidFill>
          <a:ln>
            <a:noFill/>
          </a:ln>
          <a:effectLst/>
        </c:spPr>
      </c:pivotFmt>
      <c:pivotFmt>
        <c:idx val="3"/>
        <c:spPr>
          <a:solidFill>
            <a:srgbClr val="FFC000"/>
          </a:solidFill>
          <a:ln>
            <a:noFill/>
          </a:ln>
          <a:effectLst/>
        </c:spPr>
      </c:pivotFmt>
      <c:pivotFmt>
        <c:idx val="4"/>
        <c:spPr>
          <a:solidFill>
            <a:srgbClr val="88888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888888"/>
          </a:solidFill>
          <a:ln>
            <a:noFill/>
          </a:ln>
          <a:effectLst/>
        </c:spPr>
      </c:pivotFmt>
      <c:pivotFmt>
        <c:idx val="6"/>
        <c:spPr>
          <a:solidFill>
            <a:srgbClr val="E30613"/>
          </a:solidFill>
          <a:ln>
            <a:noFill/>
          </a:ln>
          <a:effectLst/>
        </c:spPr>
      </c:pivotFmt>
      <c:pivotFmt>
        <c:idx val="7"/>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pivotFmt>
      <c:pivotFmt>
        <c:idx val="9"/>
        <c:spPr>
          <a:solidFill>
            <a:srgbClr val="FFC000"/>
          </a:solidFill>
          <a:ln>
            <a:noFill/>
          </a:ln>
          <a:effectLst/>
        </c:spPr>
      </c:pivotFmt>
      <c:pivotFmt>
        <c:idx val="10"/>
        <c:spPr>
          <a:solidFill>
            <a:srgbClr val="FFC000"/>
          </a:solidFill>
          <a:ln>
            <a:noFill/>
          </a:ln>
          <a:effectLst/>
        </c:spPr>
      </c:pivotFmt>
      <c:pivotFmt>
        <c:idx val="11"/>
        <c:spPr>
          <a:solidFill>
            <a:srgbClr val="80C34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80C342"/>
          </a:solidFill>
          <a:ln>
            <a:noFill/>
          </a:ln>
          <a:effectLst/>
        </c:spPr>
      </c:pivotFmt>
      <c:pivotFmt>
        <c:idx val="1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FFFF"/>
          </a:solidFill>
          <a:ln>
            <a:solidFill>
              <a:srgbClr val="92D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noFill/>
          </a:ln>
          <a:effectLst/>
        </c:spPr>
      </c:pivotFmt>
      <c:pivotFmt>
        <c:idx val="18"/>
        <c:spPr>
          <a:solidFill>
            <a:srgbClr val="708090"/>
          </a:solidFill>
          <a:ln>
            <a:noFill/>
          </a:ln>
          <a:effectLst/>
        </c:spPr>
      </c:pivotFmt>
      <c:pivotFmt>
        <c:idx val="1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44841A"/>
          </a:solidFill>
          <a:ln>
            <a:noFill/>
          </a:ln>
          <a:effectLst/>
        </c:spPr>
      </c:pivotFmt>
      <c:pivotFmt>
        <c:idx val="21"/>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pivotFmt>
      <c:pivotFmt>
        <c:idx val="24"/>
      </c:pivotFmt>
      <c:pivotFmt>
        <c:idx val="2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pivotFmt>
      <c:pivotFmt>
        <c:idx val="27"/>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3409263477600606E-2"/>
          <c:y val="6.2454466479895158E-2"/>
          <c:w val="0.94487589974503106"/>
          <c:h val="0.6162512452023865"/>
        </c:manualLayout>
      </c:layout>
      <c:barChart>
        <c:barDir val="col"/>
        <c:grouping val="clustered"/>
        <c:varyColors val="1"/>
        <c:ser>
          <c:idx val="0"/>
          <c:order val="0"/>
          <c:tx>
            <c:strRef>
              <c:f>Pivot!$B$58:$B$59</c:f>
              <c:strCache>
                <c:ptCount val="1"/>
                <c:pt idx="0">
                  <c:v>Biu</c:v>
                </c:pt>
              </c:strCache>
            </c:strRef>
          </c:tx>
          <c:spPr>
            <a:solidFill>
              <a:srgbClr val="708090"/>
            </a:solidFill>
            <a:ln>
              <a:noFill/>
            </a:ln>
            <a:effectLst/>
          </c:spPr>
          <c:invertIfNegative val="0"/>
          <c:dPt>
            <c:idx val="0"/>
            <c:invertIfNegative val="0"/>
            <c:bubble3D val="0"/>
            <c:extLst>
              <c:ext xmlns:c16="http://schemas.microsoft.com/office/drawing/2014/chart" uri="{C3380CC4-5D6E-409C-BE32-E72D297353CC}">
                <c16:uniqueId val="{00000004-D959-4563-95F9-E77F082CB0B1}"/>
              </c:ext>
            </c:extLst>
          </c:dPt>
          <c:dPt>
            <c:idx val="1"/>
            <c:invertIfNegative val="0"/>
            <c:bubble3D val="0"/>
            <c:extLst>
              <c:ext xmlns:c16="http://schemas.microsoft.com/office/drawing/2014/chart" uri="{C3380CC4-5D6E-409C-BE32-E72D297353CC}">
                <c16:uniqueId val="{00000003-D959-4563-95F9-E77F082CB0B1}"/>
              </c:ext>
            </c:extLst>
          </c:dPt>
          <c:dPt>
            <c:idx val="2"/>
            <c:invertIfNegative val="0"/>
            <c:bubble3D val="0"/>
            <c:extLst>
              <c:ext xmlns:c16="http://schemas.microsoft.com/office/drawing/2014/chart" uri="{C3380CC4-5D6E-409C-BE32-E72D297353CC}">
                <c16:uniqueId val="{00000002-D959-4563-95F9-E77F082CB0B1}"/>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Pivot!$A$60:$A$64</c:f>
              <c:strCache>
                <c:ptCount val="4"/>
                <c:pt idx="0">
                  <c:v>Hosting IDPs</c:v>
                </c:pt>
                <c:pt idx="1">
                  <c:v>IDPs  </c:v>
                </c:pt>
                <c:pt idx="2">
                  <c:v>Returnees </c:v>
                </c:pt>
                <c:pt idx="3">
                  <c:v>Host community (but not hosting IDP themselves) </c:v>
                </c:pt>
              </c:strCache>
            </c:strRef>
          </c:cat>
          <c:val>
            <c:numRef>
              <c:f>Pivot!$B$60:$B$64</c:f>
              <c:numCache>
                <c:formatCode>0%</c:formatCode>
                <c:ptCount val="4"/>
                <c:pt idx="0">
                  <c:v>1.7647058823529412E-2</c:v>
                </c:pt>
                <c:pt idx="1">
                  <c:v>0.12352941176470589</c:v>
                </c:pt>
                <c:pt idx="2">
                  <c:v>0.15294117647058825</c:v>
                </c:pt>
                <c:pt idx="3">
                  <c:v>0.70588235294117652</c:v>
                </c:pt>
              </c:numCache>
            </c:numRef>
          </c:val>
          <c:extLst>
            <c:ext xmlns:c16="http://schemas.microsoft.com/office/drawing/2014/chart" uri="{C3380CC4-5D6E-409C-BE32-E72D297353CC}">
              <c16:uniqueId val="{00000000-D959-4563-95F9-E77F082CB0B1}"/>
            </c:ext>
          </c:extLst>
        </c:ser>
        <c:ser>
          <c:idx val="1"/>
          <c:order val="1"/>
          <c:tx>
            <c:strRef>
              <c:f>Pivot!$C$58:$C$59</c:f>
              <c:strCache>
                <c:ptCount val="1"/>
                <c:pt idx="0">
                  <c:v>Guyuk</c:v>
                </c:pt>
              </c:strCache>
            </c:strRef>
          </c:tx>
          <c:spPr>
            <a:solidFill>
              <a:srgbClr val="44841A"/>
            </a:solidFill>
            <a:ln>
              <a:noFill/>
            </a:ln>
            <a:effectLst/>
          </c:spPr>
          <c:invertIfNegative val="0"/>
          <c:dPt>
            <c:idx val="0"/>
            <c:invertIfNegative val="0"/>
            <c:bubble3D val="0"/>
            <c:extLst>
              <c:ext xmlns:c16="http://schemas.microsoft.com/office/drawing/2014/chart" uri="{C3380CC4-5D6E-409C-BE32-E72D297353CC}">
                <c16:uniqueId val="{00000016-939F-40F7-B412-260C8DE8A1B1}"/>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Pivot!$A$60:$A$64</c:f>
              <c:strCache>
                <c:ptCount val="4"/>
                <c:pt idx="0">
                  <c:v>Hosting IDPs</c:v>
                </c:pt>
                <c:pt idx="1">
                  <c:v>IDPs  </c:v>
                </c:pt>
                <c:pt idx="2">
                  <c:v>Returnees </c:v>
                </c:pt>
                <c:pt idx="3">
                  <c:v>Host community (but not hosting IDP themselves) </c:v>
                </c:pt>
              </c:strCache>
            </c:strRef>
          </c:cat>
          <c:val>
            <c:numRef>
              <c:f>Pivot!$C$60:$C$64</c:f>
              <c:numCache>
                <c:formatCode>0%</c:formatCode>
                <c:ptCount val="4"/>
                <c:pt idx="0">
                  <c:v>3.3816425120772944E-2</c:v>
                </c:pt>
                <c:pt idx="1">
                  <c:v>4.8309178743961352E-2</c:v>
                </c:pt>
                <c:pt idx="2">
                  <c:v>0.3671497584541063</c:v>
                </c:pt>
                <c:pt idx="3">
                  <c:v>0.55072463768115942</c:v>
                </c:pt>
              </c:numCache>
            </c:numRef>
          </c:val>
          <c:extLst>
            <c:ext xmlns:c16="http://schemas.microsoft.com/office/drawing/2014/chart" uri="{C3380CC4-5D6E-409C-BE32-E72D297353CC}">
              <c16:uniqueId val="{00000015-939F-40F7-B412-260C8DE8A1B1}"/>
            </c:ext>
          </c:extLst>
        </c:ser>
        <c:ser>
          <c:idx val="2"/>
          <c:order val="2"/>
          <c:tx>
            <c:strRef>
              <c:f>Pivot!$D$58:$D$59</c:f>
              <c:strCache>
                <c:ptCount val="1"/>
                <c:pt idx="0">
                  <c:v>Kwaya Kusar</c:v>
                </c:pt>
              </c:strCache>
            </c:strRef>
          </c:tx>
          <c:spPr>
            <a:solidFill>
              <a:srgbClr val="00606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Pivot!$A$60:$A$64</c:f>
              <c:strCache>
                <c:ptCount val="4"/>
                <c:pt idx="0">
                  <c:v>Hosting IDPs</c:v>
                </c:pt>
                <c:pt idx="1">
                  <c:v>IDPs  </c:v>
                </c:pt>
                <c:pt idx="2">
                  <c:v>Returnees </c:v>
                </c:pt>
                <c:pt idx="3">
                  <c:v>Host community (but not hosting IDP themselves) </c:v>
                </c:pt>
              </c:strCache>
            </c:strRef>
          </c:cat>
          <c:val>
            <c:numRef>
              <c:f>Pivot!$D$60:$D$64</c:f>
              <c:numCache>
                <c:formatCode>0%</c:formatCode>
                <c:ptCount val="4"/>
                <c:pt idx="0">
                  <c:v>8.4745762711864403E-2</c:v>
                </c:pt>
                <c:pt idx="1">
                  <c:v>0.11864406779661017</c:v>
                </c:pt>
                <c:pt idx="2">
                  <c:v>0.13559322033898305</c:v>
                </c:pt>
                <c:pt idx="3">
                  <c:v>0.66101694915254239</c:v>
                </c:pt>
              </c:numCache>
            </c:numRef>
          </c:val>
          <c:extLst>
            <c:ext xmlns:c16="http://schemas.microsoft.com/office/drawing/2014/chart" uri="{C3380CC4-5D6E-409C-BE32-E72D297353CC}">
              <c16:uniqueId val="{00000017-939F-40F7-B412-260C8DE8A1B1}"/>
            </c:ext>
          </c:extLst>
        </c:ser>
        <c:dLbls>
          <c:dLblPos val="outEnd"/>
          <c:showLegendKey val="0"/>
          <c:showVal val="1"/>
          <c:showCatName val="0"/>
          <c:showSerName val="0"/>
          <c:showPercent val="0"/>
          <c:showBubbleSize val="0"/>
        </c:dLbls>
        <c:gapWidth val="219"/>
        <c:overlap val="-27"/>
        <c:axId val="1751594304"/>
        <c:axId val="1751592224"/>
      </c:barChart>
      <c:catAx>
        <c:axId val="1751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1592224"/>
        <c:crosses val="autoZero"/>
        <c:auto val="1"/>
        <c:lblAlgn val="ctr"/>
        <c:lblOffset val="100"/>
        <c:noMultiLvlLbl val="0"/>
      </c:catAx>
      <c:valAx>
        <c:axId val="1751592224"/>
        <c:scaling>
          <c:orientation val="minMax"/>
        </c:scaling>
        <c:delete val="1"/>
        <c:axPos val="l"/>
        <c:numFmt formatCode="0%" sourceLinked="1"/>
        <c:majorTickMark val="none"/>
        <c:minorTickMark val="none"/>
        <c:tickLblPos val="nextTo"/>
        <c:crossAx val="1751594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ysClr val="window" lastClr="FFFFFF"/>
    </a:solidFill>
    <a:ln w="0" cap="flat" cmpd="sng" algn="ctr">
      <a:solidFill>
        <a:sysClr val="windowText" lastClr="000000">
          <a:lumMod val="15000"/>
          <a:lumOff val="85000"/>
        </a:sysClr>
      </a:solidFill>
      <a:round/>
    </a:ln>
    <a:effectLst/>
  </c:spPr>
  <c:txPr>
    <a:bodyPr/>
    <a:lstStyle/>
    <a:p>
      <a:pPr>
        <a:defRPr sz="800"/>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[OXFAM_SURVEY_FINAL_Jude.xlsx]Pivot (2)!PivotTable41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'Pivot (2)'!$B$131:$B$132</c:f>
              <c:strCache>
                <c:ptCount val="1"/>
                <c:pt idx="0">
                  <c:v>Biu</c:v>
                </c:pt>
              </c:strCache>
            </c:strRef>
          </c:tx>
          <c:spPr>
            <a:solidFill>
              <a:srgbClr val="44841A"/>
            </a:solidFill>
            <a:ln>
              <a:solidFill>
                <a:srgbClr val="44841A"/>
              </a:solidFill>
            </a:ln>
            <a:effectLst/>
          </c:spPr>
          <c:invertIfNegative val="0"/>
          <c:dLbls>
            <c:dLbl>
              <c:idx val="0"/>
              <c:layout>
                <c:manualLayout>
                  <c:x val="1.9942388654996635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7E-4B83-B587-5B268930FB9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(2)'!$A$133:$A$141</c:f>
              <c:strCache>
                <c:ptCount val="8"/>
                <c:pt idx="0">
                  <c:v>Apprentice</c:v>
                </c:pt>
                <c:pt idx="1">
                  <c:v>Health worker </c:v>
                </c:pt>
                <c:pt idx="2">
                  <c:v>Private sector employees</c:v>
                </c:pt>
                <c:pt idx="3">
                  <c:v>Student </c:v>
                </c:pt>
                <c:pt idx="4">
                  <c:v>Daily labourer</c:v>
                </c:pt>
                <c:pt idx="5">
                  <c:v>Government worker</c:v>
                </c:pt>
                <c:pt idx="6">
                  <c:v>Unemployed</c:v>
                </c:pt>
                <c:pt idx="7">
                  <c:v>Self-employed</c:v>
                </c:pt>
              </c:strCache>
            </c:strRef>
          </c:cat>
          <c:val>
            <c:numRef>
              <c:f>'Pivot (2)'!$B$133:$B$141</c:f>
              <c:numCache>
                <c:formatCode>0%</c:formatCode>
                <c:ptCount val="8"/>
                <c:pt idx="0">
                  <c:v>0</c:v>
                </c:pt>
                <c:pt idx="1">
                  <c:v>5.8823529411764705E-3</c:v>
                </c:pt>
                <c:pt idx="2">
                  <c:v>5.8823529411764705E-3</c:v>
                </c:pt>
                <c:pt idx="3">
                  <c:v>2.9411764705882353E-2</c:v>
                </c:pt>
                <c:pt idx="4">
                  <c:v>1.7647058823529412E-2</c:v>
                </c:pt>
                <c:pt idx="5">
                  <c:v>7.6470588235294124E-2</c:v>
                </c:pt>
                <c:pt idx="6">
                  <c:v>0.2</c:v>
                </c:pt>
                <c:pt idx="7">
                  <c:v>0.66470588235294115</c:v>
                </c:pt>
              </c:numCache>
            </c:numRef>
          </c:val>
          <c:extLst>
            <c:ext xmlns:c16="http://schemas.microsoft.com/office/drawing/2014/chart" uri="{C3380CC4-5D6E-409C-BE32-E72D297353CC}">
              <c16:uniqueId val="{00000000-2E7E-4B83-B587-5B268930FB96}"/>
            </c:ext>
          </c:extLst>
        </c:ser>
        <c:ser>
          <c:idx val="1"/>
          <c:order val="1"/>
          <c:tx>
            <c:strRef>
              <c:f>'Pivot (2)'!$C$131:$C$132</c:f>
              <c:strCache>
                <c:ptCount val="1"/>
                <c:pt idx="0">
                  <c:v>Guyuk</c:v>
                </c:pt>
              </c:strCache>
            </c:strRef>
          </c:tx>
          <c:spPr>
            <a:solidFill>
              <a:srgbClr val="708090"/>
            </a:solidFill>
            <a:ln>
              <a:solidFill>
                <a:srgbClr val="70809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(2)'!$A$133:$A$141</c:f>
              <c:strCache>
                <c:ptCount val="8"/>
                <c:pt idx="0">
                  <c:v>Apprentice</c:v>
                </c:pt>
                <c:pt idx="1">
                  <c:v>Health worker </c:v>
                </c:pt>
                <c:pt idx="2">
                  <c:v>Private sector employees</c:v>
                </c:pt>
                <c:pt idx="3">
                  <c:v>Student </c:v>
                </c:pt>
                <c:pt idx="4">
                  <c:v>Daily labourer</c:v>
                </c:pt>
                <c:pt idx="5">
                  <c:v>Government worker</c:v>
                </c:pt>
                <c:pt idx="6">
                  <c:v>Unemployed</c:v>
                </c:pt>
                <c:pt idx="7">
                  <c:v>Self-employed</c:v>
                </c:pt>
              </c:strCache>
            </c:strRef>
          </c:cat>
          <c:val>
            <c:numRef>
              <c:f>'Pivot (2)'!$C$133:$C$141</c:f>
              <c:numCache>
                <c:formatCode>0%</c:formatCode>
                <c:ptCount val="8"/>
                <c:pt idx="0">
                  <c:v>4.830917874396135E-3</c:v>
                </c:pt>
                <c:pt idx="1">
                  <c:v>0</c:v>
                </c:pt>
                <c:pt idx="2">
                  <c:v>0</c:v>
                </c:pt>
                <c:pt idx="3">
                  <c:v>9.6618357487922701E-3</c:v>
                </c:pt>
                <c:pt idx="4">
                  <c:v>1.932367149758454E-2</c:v>
                </c:pt>
                <c:pt idx="5">
                  <c:v>4.8309178743961352E-2</c:v>
                </c:pt>
                <c:pt idx="6">
                  <c:v>1.4492753623188406E-2</c:v>
                </c:pt>
                <c:pt idx="7">
                  <c:v>0.90338164251207731</c:v>
                </c:pt>
              </c:numCache>
            </c:numRef>
          </c:val>
          <c:extLst>
            <c:ext xmlns:c16="http://schemas.microsoft.com/office/drawing/2014/chart" uri="{C3380CC4-5D6E-409C-BE32-E72D297353CC}">
              <c16:uniqueId val="{00000001-2E7E-4B83-B587-5B268930FB96}"/>
            </c:ext>
          </c:extLst>
        </c:ser>
        <c:ser>
          <c:idx val="2"/>
          <c:order val="2"/>
          <c:tx>
            <c:strRef>
              <c:f>'Pivot (2)'!$D$131:$D$132</c:f>
              <c:strCache>
                <c:ptCount val="1"/>
                <c:pt idx="0">
                  <c:v>Kwaya Kusar</c:v>
                </c:pt>
              </c:strCache>
            </c:strRef>
          </c:tx>
          <c:spPr>
            <a:solidFill>
              <a:schemeClr val="accent3"/>
            </a:solidFill>
            <a:ln>
              <a:noFill/>
            </a:ln>
            <a:effectLst/>
          </c:spPr>
          <c:invertIfNegative val="0"/>
          <c:dLbls>
            <c:dLbl>
              <c:idx val="0"/>
              <c:layout>
                <c:manualLayout>
                  <c:x val="-1.7726567693330378E-2"/>
                  <c:y val="1.02432778489114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7E-4B83-B587-5B268930FB96}"/>
                </c:ext>
              </c:extLst>
            </c:dLbl>
            <c:dLbl>
              <c:idx val="3"/>
              <c:layout>
                <c:manualLayout>
                  <c:x val="-1.7726567693330378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7E-4B83-B587-5B268930FB9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(2)'!$A$133:$A$141</c:f>
              <c:strCache>
                <c:ptCount val="8"/>
                <c:pt idx="0">
                  <c:v>Apprentice</c:v>
                </c:pt>
                <c:pt idx="1">
                  <c:v>Health worker </c:v>
                </c:pt>
                <c:pt idx="2">
                  <c:v>Private sector employees</c:v>
                </c:pt>
                <c:pt idx="3">
                  <c:v>Student </c:v>
                </c:pt>
                <c:pt idx="4">
                  <c:v>Daily labourer</c:v>
                </c:pt>
                <c:pt idx="5">
                  <c:v>Government worker</c:v>
                </c:pt>
                <c:pt idx="6">
                  <c:v>Unemployed</c:v>
                </c:pt>
                <c:pt idx="7">
                  <c:v>Self-employed</c:v>
                </c:pt>
              </c:strCache>
            </c:strRef>
          </c:cat>
          <c:val>
            <c:numRef>
              <c:f>'Pivot (2)'!$D$133:$D$141</c:f>
              <c:numCache>
                <c:formatCode>0%</c:formatCode>
                <c:ptCount val="8"/>
                <c:pt idx="0">
                  <c:v>0</c:v>
                </c:pt>
                <c:pt idx="1">
                  <c:v>3.3898305084745763E-2</c:v>
                </c:pt>
                <c:pt idx="2">
                  <c:v>3.3898305084745763E-2</c:v>
                </c:pt>
                <c:pt idx="3">
                  <c:v>0</c:v>
                </c:pt>
                <c:pt idx="4">
                  <c:v>6.7796610169491525E-2</c:v>
                </c:pt>
                <c:pt idx="5">
                  <c:v>6.7796610169491525E-2</c:v>
                </c:pt>
                <c:pt idx="6">
                  <c:v>0.10169491525423729</c:v>
                </c:pt>
                <c:pt idx="7">
                  <c:v>0.69491525423728817</c:v>
                </c:pt>
              </c:numCache>
            </c:numRef>
          </c:val>
          <c:extLst>
            <c:ext xmlns:c16="http://schemas.microsoft.com/office/drawing/2014/chart" uri="{C3380CC4-5D6E-409C-BE32-E72D297353CC}">
              <c16:uniqueId val="{00000002-2E7E-4B83-B587-5B268930FB96}"/>
            </c:ext>
          </c:extLst>
        </c:ser>
        <c:dLbls>
          <c:dLblPos val="ctr"/>
          <c:showLegendKey val="0"/>
          <c:showVal val="1"/>
          <c:showCatName val="0"/>
          <c:showSerName val="0"/>
          <c:showPercent val="0"/>
          <c:showBubbleSize val="0"/>
        </c:dLbls>
        <c:gapWidth val="0"/>
        <c:overlap val="76"/>
        <c:axId val="2027756511"/>
        <c:axId val="2027767071"/>
      </c:barChart>
      <c:catAx>
        <c:axId val="202775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7767071"/>
        <c:crosses val="autoZero"/>
        <c:auto val="1"/>
        <c:lblAlgn val="ctr"/>
        <c:lblOffset val="100"/>
        <c:noMultiLvlLbl val="0"/>
      </c:catAx>
      <c:valAx>
        <c:axId val="2027767071"/>
        <c:scaling>
          <c:orientation val="minMax"/>
        </c:scaling>
        <c:delete val="1"/>
        <c:axPos val="b"/>
        <c:numFmt formatCode="0%" sourceLinked="1"/>
        <c:majorTickMark val="none"/>
        <c:minorTickMark val="none"/>
        <c:tickLblPos val="nextTo"/>
        <c:crossAx val="202775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[MRTab.xlsx]Pivots!PivotTable22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Pivots!$B$69:$B$70</c:f>
              <c:strCache>
                <c:ptCount val="1"/>
                <c:pt idx="0">
                  <c:v>Biu</c:v>
                </c:pt>
              </c:strCache>
            </c:strRef>
          </c:tx>
          <c:spPr>
            <a:solidFill>
              <a:srgbClr val="44841A"/>
            </a:solidFill>
            <a:ln>
              <a:solidFill>
                <a:srgbClr val="44841A"/>
              </a:solidFill>
            </a:ln>
            <a:effectLst/>
          </c:spPr>
          <c:invertIfNegative val="0"/>
          <c:dLbls>
            <c:dLbl>
              <c:idx val="0"/>
              <c:layout>
                <c:manualLayout>
                  <c:x val="1.9942388654996635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65-48A1-876C-0CDA8B471D1B}"/>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Pivots!$A$71:$A$81</c:f>
              <c:strCache>
                <c:ptCount val="10"/>
                <c:pt idx="0">
                  <c:v>None</c:v>
                </c:pt>
                <c:pt idx="1">
                  <c:v>Tertiary institution</c:v>
                </c:pt>
                <c:pt idx="2">
                  <c:v>Access roads </c:v>
                </c:pt>
                <c:pt idx="3">
                  <c:v>Police Station/Security Post  </c:v>
                </c:pt>
                <c:pt idx="4">
                  <c:v>Market  </c:v>
                </c:pt>
                <c:pt idx="5">
                  <c:v>Borehole/Water Point  </c:v>
                </c:pt>
                <c:pt idx="6">
                  <c:v>Secondary School </c:v>
                </c:pt>
                <c:pt idx="7">
                  <c:v>Health Facility  </c:v>
                </c:pt>
                <c:pt idx="8">
                  <c:v>Religious Centre  </c:v>
                </c:pt>
                <c:pt idx="9">
                  <c:v>Primary School  </c:v>
                </c:pt>
              </c:strCache>
            </c:strRef>
          </c:cat>
          <c:val>
            <c:numRef>
              <c:f>Pivots!$B$71:$B$81</c:f>
              <c:numCache>
                <c:formatCode>0%</c:formatCode>
                <c:ptCount val="10"/>
                <c:pt idx="0">
                  <c:v>1.2706480304955528E-3</c:v>
                </c:pt>
                <c:pt idx="1">
                  <c:v>7.2426937738246502E-2</c:v>
                </c:pt>
                <c:pt idx="2">
                  <c:v>5.2096569250317665E-2</c:v>
                </c:pt>
                <c:pt idx="3">
                  <c:v>4.4472681067344345E-2</c:v>
                </c:pt>
                <c:pt idx="4">
                  <c:v>0.10927573062261753</c:v>
                </c:pt>
                <c:pt idx="5">
                  <c:v>9.2757306226175354E-2</c:v>
                </c:pt>
                <c:pt idx="6">
                  <c:v>0.13595933926302414</c:v>
                </c:pt>
                <c:pt idx="7">
                  <c:v>9.4027954256670904E-2</c:v>
                </c:pt>
                <c:pt idx="8">
                  <c:v>0.20330368487928843</c:v>
                </c:pt>
                <c:pt idx="9">
                  <c:v>0.19440914866581957</c:v>
                </c:pt>
              </c:numCache>
            </c:numRef>
          </c:val>
          <c:extLst>
            <c:ext xmlns:c16="http://schemas.microsoft.com/office/drawing/2014/chart" uri="{C3380CC4-5D6E-409C-BE32-E72D297353CC}">
              <c16:uniqueId val="{00000001-1B65-48A1-876C-0CDA8B471D1B}"/>
            </c:ext>
          </c:extLst>
        </c:ser>
        <c:ser>
          <c:idx val="1"/>
          <c:order val="1"/>
          <c:tx>
            <c:strRef>
              <c:f>Pivots!$C$69:$C$70</c:f>
              <c:strCache>
                <c:ptCount val="1"/>
                <c:pt idx="0">
                  <c:v>Guyuk</c:v>
                </c:pt>
              </c:strCache>
            </c:strRef>
          </c:tx>
          <c:spPr>
            <a:solidFill>
              <a:srgbClr val="708090"/>
            </a:solidFill>
            <a:ln>
              <a:solidFill>
                <a:srgbClr val="708090"/>
              </a:solidFill>
            </a:ln>
            <a:effectLst/>
          </c:spPr>
          <c:invertIfNegative val="0"/>
          <c:dLbls>
            <c:dLbl>
              <c:idx val="1"/>
              <c:layout>
                <c:manualLayout>
                  <c:x val="-4.2100598271659649E-2"/>
                  <c:y val="1.02275632830477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65-48A1-876C-0CDA8B471D1B}"/>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Pivots!$A$71:$A$81</c:f>
              <c:strCache>
                <c:ptCount val="10"/>
                <c:pt idx="0">
                  <c:v>None</c:v>
                </c:pt>
                <c:pt idx="1">
                  <c:v>Tertiary institution</c:v>
                </c:pt>
                <c:pt idx="2">
                  <c:v>Access roads </c:v>
                </c:pt>
                <c:pt idx="3">
                  <c:v>Police Station/Security Post  </c:v>
                </c:pt>
                <c:pt idx="4">
                  <c:v>Market  </c:v>
                </c:pt>
                <c:pt idx="5">
                  <c:v>Borehole/Water Point  </c:v>
                </c:pt>
                <c:pt idx="6">
                  <c:v>Secondary School </c:v>
                </c:pt>
                <c:pt idx="7">
                  <c:v>Health Facility  </c:v>
                </c:pt>
                <c:pt idx="8">
                  <c:v>Religious Centre  </c:v>
                </c:pt>
                <c:pt idx="9">
                  <c:v>Primary School  </c:v>
                </c:pt>
              </c:strCache>
            </c:strRef>
          </c:cat>
          <c:val>
            <c:numRef>
              <c:f>Pivots!$C$71:$C$81</c:f>
              <c:numCache>
                <c:formatCode>0%</c:formatCode>
                <c:ptCount val="10"/>
                <c:pt idx="0">
                  <c:v>1.1574074074074073E-3</c:v>
                </c:pt>
                <c:pt idx="1">
                  <c:v>2.3148148148148147E-3</c:v>
                </c:pt>
                <c:pt idx="2">
                  <c:v>3.9351851851851853E-2</c:v>
                </c:pt>
                <c:pt idx="3">
                  <c:v>4.8611111111111112E-2</c:v>
                </c:pt>
                <c:pt idx="4">
                  <c:v>6.7129629629629636E-2</c:v>
                </c:pt>
                <c:pt idx="5">
                  <c:v>0.10648148148148148</c:v>
                </c:pt>
                <c:pt idx="6">
                  <c:v>0.12152777777777778</c:v>
                </c:pt>
                <c:pt idx="7">
                  <c:v>0.17592592592592593</c:v>
                </c:pt>
                <c:pt idx="8">
                  <c:v>0.20833333333333334</c:v>
                </c:pt>
                <c:pt idx="9">
                  <c:v>0.22916666666666666</c:v>
                </c:pt>
              </c:numCache>
            </c:numRef>
          </c:val>
          <c:extLst>
            <c:ext xmlns:c16="http://schemas.microsoft.com/office/drawing/2014/chart" uri="{C3380CC4-5D6E-409C-BE32-E72D297353CC}">
              <c16:uniqueId val="{00000002-1B65-48A1-876C-0CDA8B471D1B}"/>
            </c:ext>
          </c:extLst>
        </c:ser>
        <c:ser>
          <c:idx val="2"/>
          <c:order val="2"/>
          <c:tx>
            <c:strRef>
              <c:f>Pivots!$D$69:$D$70</c:f>
              <c:strCache>
                <c:ptCount val="1"/>
                <c:pt idx="0">
                  <c:v>Kwaya Kusar</c:v>
                </c:pt>
              </c:strCache>
            </c:strRef>
          </c:tx>
          <c:spPr>
            <a:solidFill>
              <a:schemeClr val="accent3"/>
            </a:solidFill>
            <a:ln>
              <a:noFill/>
            </a:ln>
            <a:effectLst/>
          </c:spPr>
          <c:invertIfNegative val="0"/>
          <c:dLbls>
            <c:dLbl>
              <c:idx val="0"/>
              <c:layout>
                <c:manualLayout>
                  <c:x val="-1.7726567693330378E-2"/>
                  <c:y val="1.02432778489114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65-48A1-876C-0CDA8B471D1B}"/>
                </c:ext>
              </c:extLst>
            </c:dLbl>
            <c:dLbl>
              <c:idx val="1"/>
              <c:layout>
                <c:manualLayout>
                  <c:x val="-1.9942388654996677E-2"/>
                  <c:y val="2.0455126566095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65-48A1-876C-0CDA8B471D1B}"/>
                </c:ext>
              </c:extLst>
            </c:dLbl>
            <c:dLbl>
              <c:idx val="3"/>
              <c:layout>
                <c:manualLayout>
                  <c:x val="-1.7726567693330378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65-48A1-876C-0CDA8B471D1B}"/>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Pivots!$A$71:$A$81</c:f>
              <c:strCache>
                <c:ptCount val="10"/>
                <c:pt idx="0">
                  <c:v>None</c:v>
                </c:pt>
                <c:pt idx="1">
                  <c:v>Tertiary institution</c:v>
                </c:pt>
                <c:pt idx="2">
                  <c:v>Access roads </c:v>
                </c:pt>
                <c:pt idx="3">
                  <c:v>Police Station/Security Post  </c:v>
                </c:pt>
                <c:pt idx="4">
                  <c:v>Market  </c:v>
                </c:pt>
                <c:pt idx="5">
                  <c:v>Borehole/Water Point  </c:v>
                </c:pt>
                <c:pt idx="6">
                  <c:v>Secondary School </c:v>
                </c:pt>
                <c:pt idx="7">
                  <c:v>Health Facility  </c:v>
                </c:pt>
                <c:pt idx="8">
                  <c:v>Religious Centre  </c:v>
                </c:pt>
                <c:pt idx="9">
                  <c:v>Primary School  </c:v>
                </c:pt>
              </c:strCache>
            </c:strRef>
          </c:cat>
          <c:val>
            <c:numRef>
              <c:f>Pivots!$D$71:$D$81</c:f>
              <c:numCache>
                <c:formatCode>0%</c:formatCode>
                <c:ptCount val="10"/>
                <c:pt idx="0">
                  <c:v>8.5106382978723406E-3</c:v>
                </c:pt>
                <c:pt idx="1">
                  <c:v>0</c:v>
                </c:pt>
                <c:pt idx="2">
                  <c:v>6.8085106382978725E-2</c:v>
                </c:pt>
                <c:pt idx="3">
                  <c:v>6.8085106382978725E-2</c:v>
                </c:pt>
                <c:pt idx="4">
                  <c:v>7.2340425531914887E-2</c:v>
                </c:pt>
                <c:pt idx="5">
                  <c:v>0.15319148936170213</c:v>
                </c:pt>
                <c:pt idx="6">
                  <c:v>8.9361702127659579E-2</c:v>
                </c:pt>
                <c:pt idx="7">
                  <c:v>0.14893617021276595</c:v>
                </c:pt>
                <c:pt idx="8">
                  <c:v>0.18723404255319148</c:v>
                </c:pt>
                <c:pt idx="9">
                  <c:v>0.20425531914893616</c:v>
                </c:pt>
              </c:numCache>
            </c:numRef>
          </c:val>
          <c:extLst>
            <c:ext xmlns:c16="http://schemas.microsoft.com/office/drawing/2014/chart" uri="{C3380CC4-5D6E-409C-BE32-E72D297353CC}">
              <c16:uniqueId val="{00000005-1B65-48A1-876C-0CDA8B471D1B}"/>
            </c:ext>
          </c:extLst>
        </c:ser>
        <c:dLbls>
          <c:dLblPos val="ctr"/>
          <c:showLegendKey val="0"/>
          <c:showVal val="1"/>
          <c:showCatName val="0"/>
          <c:showSerName val="0"/>
          <c:showPercent val="0"/>
          <c:showBubbleSize val="0"/>
        </c:dLbls>
        <c:gapWidth val="0"/>
        <c:overlap val="76"/>
        <c:axId val="2027756511"/>
        <c:axId val="2027767071"/>
      </c:barChart>
      <c:catAx>
        <c:axId val="202775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7767071"/>
        <c:crosses val="autoZero"/>
        <c:auto val="1"/>
        <c:lblAlgn val="ctr"/>
        <c:lblOffset val="100"/>
        <c:noMultiLvlLbl val="0"/>
      </c:catAx>
      <c:valAx>
        <c:axId val="2027767071"/>
        <c:scaling>
          <c:orientation val="minMax"/>
        </c:scaling>
        <c:delete val="1"/>
        <c:axPos val="b"/>
        <c:numFmt formatCode="0%" sourceLinked="1"/>
        <c:majorTickMark val="none"/>
        <c:minorTickMark val="none"/>
        <c:tickLblPos val="nextTo"/>
        <c:crossAx val="202775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chart>
  <c:spPr>
    <a:solidFill>
      <a:schemeClr val="bg1"/>
    </a:solidFill>
    <a:ln w="0" cap="flat" cmpd="sng" algn="ctr">
      <a:solidFill>
        <a:schemeClr val="tx1">
          <a:lumMod val="15000"/>
          <a:lumOff val="85000"/>
        </a:schemeClr>
      </a:solidFill>
      <a:round/>
    </a:ln>
    <a:effectLst/>
  </c:spPr>
  <c:txPr>
    <a:bodyPr/>
    <a:lstStyle/>
    <a:p>
      <a:pPr>
        <a:defRPr sz="900">
          <a:latin typeface="Garamond" panose="02020404030301010803" pitchFamily="18"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[MRTab.xlsx]Pivots!PivotTable23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440647881073885E-2"/>
          <c:y val="6.1521252796420581E-2"/>
          <c:w val="0.95118704237852225"/>
          <c:h val="0.72988206591625704"/>
        </c:manualLayout>
      </c:layout>
      <c:barChart>
        <c:barDir val="col"/>
        <c:grouping val="percentStacked"/>
        <c:varyColors val="0"/>
        <c:ser>
          <c:idx val="0"/>
          <c:order val="0"/>
          <c:tx>
            <c:strRef>
              <c:f>Pivots!$B$98:$B$99</c:f>
              <c:strCache>
                <c:ptCount val="1"/>
                <c:pt idx="0">
                  <c:v>Biu</c:v>
                </c:pt>
              </c:strCache>
            </c:strRef>
          </c:tx>
          <c:spPr>
            <a:solidFill>
              <a:srgbClr val="44841A"/>
            </a:solidFill>
            <a:ln>
              <a:solidFill>
                <a:srgbClr val="44841A"/>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Pivots!$A$100:$A$108</c:f>
              <c:strCache>
                <c:ptCount val="8"/>
                <c:pt idx="0">
                  <c:v>Religious  </c:v>
                </c:pt>
                <c:pt idx="1">
                  <c:v>Ethnic </c:v>
                </c:pt>
                <c:pt idx="2">
                  <c:v>Political  </c:v>
                </c:pt>
                <c:pt idx="3">
                  <c:v>Insurgency  </c:v>
                </c:pt>
                <c:pt idx="4">
                  <c:v>Farmer-Herder  </c:v>
                </c:pt>
                <c:pt idx="5">
                  <c:v>None</c:v>
                </c:pt>
                <c:pt idx="6">
                  <c:v>Domestic violence  </c:v>
                </c:pt>
                <c:pt idx="7">
                  <c:v>Resource-based (e.g., water, land) </c:v>
                </c:pt>
              </c:strCache>
            </c:strRef>
          </c:cat>
          <c:val>
            <c:numRef>
              <c:f>Pivots!$B$100:$B$108</c:f>
              <c:numCache>
                <c:formatCode>0%</c:formatCode>
                <c:ptCount val="8"/>
                <c:pt idx="0">
                  <c:v>3.6734693877551024E-2</c:v>
                </c:pt>
                <c:pt idx="1">
                  <c:v>1.6326530612244899E-2</c:v>
                </c:pt>
                <c:pt idx="2">
                  <c:v>0.10204081632653061</c:v>
                </c:pt>
                <c:pt idx="3">
                  <c:v>0.31020408163265306</c:v>
                </c:pt>
                <c:pt idx="4">
                  <c:v>0.22857142857142856</c:v>
                </c:pt>
                <c:pt idx="5">
                  <c:v>0.13469387755102041</c:v>
                </c:pt>
                <c:pt idx="6">
                  <c:v>0.11836734693877551</c:v>
                </c:pt>
                <c:pt idx="7">
                  <c:v>5.3061224489795916E-2</c:v>
                </c:pt>
              </c:numCache>
            </c:numRef>
          </c:val>
          <c:extLst>
            <c:ext xmlns:c16="http://schemas.microsoft.com/office/drawing/2014/chart" uri="{C3380CC4-5D6E-409C-BE32-E72D297353CC}">
              <c16:uniqueId val="{00000000-63D7-4C1B-8D83-FA499382AA1D}"/>
            </c:ext>
          </c:extLst>
        </c:ser>
        <c:ser>
          <c:idx val="1"/>
          <c:order val="1"/>
          <c:tx>
            <c:strRef>
              <c:f>Pivots!$C$98:$C$99</c:f>
              <c:strCache>
                <c:ptCount val="1"/>
                <c:pt idx="0">
                  <c:v>Guyuk</c:v>
                </c:pt>
              </c:strCache>
            </c:strRef>
          </c:tx>
          <c:spPr>
            <a:solidFill>
              <a:srgbClr val="708090"/>
            </a:solidFill>
            <a:ln>
              <a:solidFill>
                <a:srgbClr val="708090"/>
              </a:solidFill>
            </a:ln>
            <a:effectLst/>
          </c:spPr>
          <c:invertIfNegative val="0"/>
          <c:dLbls>
            <c:dLbl>
              <c:idx val="0"/>
              <c:layout>
                <c:manualLayout>
                  <c:x val="0"/>
                  <c:y val="1.67785234899328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D7-4C1B-8D83-FA499382AA1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Pivots!$A$100:$A$108</c:f>
              <c:strCache>
                <c:ptCount val="8"/>
                <c:pt idx="0">
                  <c:v>Religious  </c:v>
                </c:pt>
                <c:pt idx="1">
                  <c:v>Ethnic </c:v>
                </c:pt>
                <c:pt idx="2">
                  <c:v>Political  </c:v>
                </c:pt>
                <c:pt idx="3">
                  <c:v>Insurgency  </c:v>
                </c:pt>
                <c:pt idx="4">
                  <c:v>Farmer-Herder  </c:v>
                </c:pt>
                <c:pt idx="5">
                  <c:v>None</c:v>
                </c:pt>
                <c:pt idx="6">
                  <c:v>Domestic violence  </c:v>
                </c:pt>
                <c:pt idx="7">
                  <c:v>Resource-based (e.g., water, land) </c:v>
                </c:pt>
              </c:strCache>
            </c:strRef>
          </c:cat>
          <c:val>
            <c:numRef>
              <c:f>Pivots!$C$100:$C$108</c:f>
              <c:numCache>
                <c:formatCode>0%</c:formatCode>
                <c:ptCount val="8"/>
                <c:pt idx="0">
                  <c:v>9.8684210526315784E-3</c:v>
                </c:pt>
                <c:pt idx="1">
                  <c:v>6.9078947368421059E-2</c:v>
                </c:pt>
                <c:pt idx="2">
                  <c:v>7.2368421052631582E-2</c:v>
                </c:pt>
                <c:pt idx="3">
                  <c:v>1.6447368421052631E-2</c:v>
                </c:pt>
                <c:pt idx="4">
                  <c:v>8.5526315789473686E-2</c:v>
                </c:pt>
                <c:pt idx="5">
                  <c:v>0.17434210526315788</c:v>
                </c:pt>
                <c:pt idx="6">
                  <c:v>0.22039473684210525</c:v>
                </c:pt>
                <c:pt idx="7">
                  <c:v>0.35197368421052633</c:v>
                </c:pt>
              </c:numCache>
            </c:numRef>
          </c:val>
          <c:extLst>
            <c:ext xmlns:c16="http://schemas.microsoft.com/office/drawing/2014/chart" uri="{C3380CC4-5D6E-409C-BE32-E72D297353CC}">
              <c16:uniqueId val="{00000001-63D7-4C1B-8D83-FA499382AA1D}"/>
            </c:ext>
          </c:extLst>
        </c:ser>
        <c:ser>
          <c:idx val="2"/>
          <c:order val="2"/>
          <c:tx>
            <c:strRef>
              <c:f>Pivots!$D$98:$D$99</c:f>
              <c:strCache>
                <c:ptCount val="1"/>
                <c:pt idx="0">
                  <c:v>Kwaya Kusar</c:v>
                </c:pt>
              </c:strCache>
            </c:strRef>
          </c:tx>
          <c:spPr>
            <a:solidFill>
              <a:schemeClr val="accent3"/>
            </a:solidFill>
            <a:ln>
              <a:noFill/>
            </a:ln>
            <a:effectLst/>
          </c:spPr>
          <c:invertIfNegative val="0"/>
          <c:dLbls>
            <c:dLbl>
              <c:idx val="0"/>
              <c:layout>
                <c:manualLayout>
                  <c:x val="0"/>
                  <c:y val="2.23713646532438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D7-4C1B-8D83-FA499382AA1D}"/>
                </c:ext>
              </c:extLst>
            </c:dLbl>
            <c:dLbl>
              <c:idx val="1"/>
              <c:layout>
                <c:manualLayout>
                  <c:x val="0"/>
                  <c:y val="3.35570469798657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D7-4C1B-8D83-FA499382AA1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Pivots!$A$100:$A$108</c:f>
              <c:strCache>
                <c:ptCount val="8"/>
                <c:pt idx="0">
                  <c:v>Religious  </c:v>
                </c:pt>
                <c:pt idx="1">
                  <c:v>Ethnic </c:v>
                </c:pt>
                <c:pt idx="2">
                  <c:v>Political  </c:v>
                </c:pt>
                <c:pt idx="3">
                  <c:v>Insurgency  </c:v>
                </c:pt>
                <c:pt idx="4">
                  <c:v>Farmer-Herder  </c:v>
                </c:pt>
                <c:pt idx="5">
                  <c:v>None</c:v>
                </c:pt>
                <c:pt idx="6">
                  <c:v>Domestic violence  </c:v>
                </c:pt>
                <c:pt idx="7">
                  <c:v>Resource-based (e.g., water, land) </c:v>
                </c:pt>
              </c:strCache>
            </c:strRef>
          </c:cat>
          <c:val>
            <c:numRef>
              <c:f>Pivots!$D$100:$D$108</c:f>
              <c:numCache>
                <c:formatCode>0%</c:formatCode>
                <c:ptCount val="8"/>
                <c:pt idx="0">
                  <c:v>0</c:v>
                </c:pt>
                <c:pt idx="1">
                  <c:v>0</c:v>
                </c:pt>
                <c:pt idx="2">
                  <c:v>6.6666666666666666E-2</c:v>
                </c:pt>
                <c:pt idx="3">
                  <c:v>3.3333333333333333E-2</c:v>
                </c:pt>
                <c:pt idx="4">
                  <c:v>0.05</c:v>
                </c:pt>
                <c:pt idx="5">
                  <c:v>0.28333333333333333</c:v>
                </c:pt>
                <c:pt idx="6">
                  <c:v>0.4</c:v>
                </c:pt>
                <c:pt idx="7">
                  <c:v>0.16666666666666666</c:v>
                </c:pt>
              </c:numCache>
            </c:numRef>
          </c:val>
          <c:extLst>
            <c:ext xmlns:c16="http://schemas.microsoft.com/office/drawing/2014/chart" uri="{C3380CC4-5D6E-409C-BE32-E72D297353CC}">
              <c16:uniqueId val="{00000002-63D7-4C1B-8D83-FA499382AA1D}"/>
            </c:ext>
          </c:extLst>
        </c:ser>
        <c:dLbls>
          <c:dLblPos val="ctr"/>
          <c:showLegendKey val="0"/>
          <c:showVal val="1"/>
          <c:showCatName val="0"/>
          <c:showSerName val="0"/>
          <c:showPercent val="0"/>
          <c:showBubbleSize val="0"/>
        </c:dLbls>
        <c:gapWidth val="150"/>
        <c:overlap val="100"/>
        <c:axId val="1616233711"/>
        <c:axId val="1616234191"/>
      </c:barChart>
      <c:catAx>
        <c:axId val="161623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616234191"/>
        <c:crosses val="autoZero"/>
        <c:auto val="1"/>
        <c:lblAlgn val="ctr"/>
        <c:lblOffset val="100"/>
        <c:noMultiLvlLbl val="0"/>
      </c:catAx>
      <c:valAx>
        <c:axId val="1616234191"/>
        <c:scaling>
          <c:orientation val="minMax"/>
        </c:scaling>
        <c:delete val="1"/>
        <c:axPos val="l"/>
        <c:numFmt formatCode="0%" sourceLinked="1"/>
        <c:majorTickMark val="none"/>
        <c:minorTickMark val="none"/>
        <c:tickLblPos val="nextTo"/>
        <c:crossAx val="161623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[OXFAM_SURVEY_FINAL_Jude.xlsx]Pivot (2)!PivotTable46</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spPr>
          <a:solidFill>
            <a:srgbClr val="44841A"/>
          </a:solidFill>
          <a:ln w="19050">
            <a:solidFill>
              <a:srgbClr val="44841A"/>
            </a:solidFill>
          </a:ln>
          <a:effectLst/>
        </c:spPr>
        <c:dLbl>
          <c:idx val="0"/>
          <c:layout>
            <c:manualLayout>
              <c:x val="-4.5526974732529027E-3"/>
              <c:y val="0.17053024247268853"/>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6"/>
        <c:spPr>
          <a:solidFill>
            <a:srgbClr val="708090"/>
          </a:solidFill>
          <a:ln w="19050">
            <a:solidFill>
              <a:srgbClr val="708090"/>
            </a:solidFill>
          </a:ln>
          <a:effectLst/>
        </c:spPr>
        <c:dLbl>
          <c:idx val="0"/>
          <c:layout>
            <c:manualLayout>
              <c:x val="-3.6421579786023221E-2"/>
              <c:y val="-0.24513722355448975"/>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solidFill>
            <a:schemeClr val="accent1"/>
          </a:solidFill>
          <a:ln w="19050">
            <a:solidFill>
              <a:schemeClr val="lt1"/>
            </a:solidFill>
          </a:ln>
          <a:effectLst/>
        </c:spPr>
        <c:marker>
          <c:symbol val="none"/>
        </c:marker>
        <c:dLbl>
          <c:idx val="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8"/>
        <c:spPr>
          <a:solidFill>
            <a:srgbClr val="44841A"/>
          </a:solidFill>
          <a:ln w="19050">
            <a:solidFill>
              <a:srgbClr val="44841A"/>
            </a:solidFill>
          </a:ln>
          <a:effectLst/>
        </c:spPr>
        <c:dLbl>
          <c:idx val="0"/>
          <c:layout>
            <c:manualLayout>
              <c:x val="-4.5526974732529027E-3"/>
              <c:y val="0.17053024247268853"/>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9"/>
        <c:spPr>
          <a:solidFill>
            <a:srgbClr val="708090"/>
          </a:solidFill>
          <a:ln w="19050">
            <a:solidFill>
              <a:srgbClr val="708090"/>
            </a:solidFill>
          </a:ln>
          <a:effectLst/>
        </c:spPr>
        <c:dLbl>
          <c:idx val="0"/>
          <c:layout>
            <c:manualLayout>
              <c:x val="-3.6421579786023221E-2"/>
              <c:y val="-0.24513722355448975"/>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solidFill>
            <a:schemeClr val="accent1"/>
          </a:solidFill>
          <a:ln w="19050">
            <a:solidFill>
              <a:schemeClr val="lt1"/>
            </a:solidFill>
          </a:ln>
          <a:effectLst/>
        </c:spPr>
        <c:marker>
          <c:symbol val="none"/>
        </c:marker>
        <c:dLbl>
          <c:idx val="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1"/>
        <c:spPr>
          <a:solidFill>
            <a:srgbClr val="44841A"/>
          </a:solidFill>
          <a:ln w="19050">
            <a:solidFill>
              <a:srgbClr val="44841A"/>
            </a:solidFill>
          </a:ln>
          <a:effectLst/>
        </c:spPr>
        <c:dLbl>
          <c:idx val="0"/>
          <c:layout>
            <c:manualLayout>
              <c:x val="-4.5526974732529027E-3"/>
              <c:y val="0.17053024247268853"/>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2"/>
        <c:spPr>
          <a:solidFill>
            <a:srgbClr val="708090"/>
          </a:solidFill>
          <a:ln w="19050">
            <a:solidFill>
              <a:srgbClr val="708090"/>
            </a:solidFill>
          </a:ln>
          <a:effectLst/>
        </c:spPr>
        <c:dLbl>
          <c:idx val="0"/>
          <c:layout>
            <c:manualLayout>
              <c:x val="-3.6421579786023221E-2"/>
              <c:y val="-0.24513722355448975"/>
            </c:manualLayout>
          </c:layout>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manualLayout>
          <c:layoutTarget val="inner"/>
          <c:xMode val="edge"/>
          <c:yMode val="edge"/>
          <c:x val="0.14254188508377019"/>
          <c:y val="0.13187871383626715"/>
          <c:w val="0.65395610791221592"/>
          <c:h val="0.81192847582793881"/>
        </c:manualLayout>
      </c:layout>
      <c:pieChart>
        <c:varyColors val="1"/>
        <c:ser>
          <c:idx val="0"/>
          <c:order val="0"/>
          <c:tx>
            <c:strRef>
              <c:f>'Pivot (2)'!$I$1055</c:f>
              <c:strCache>
                <c:ptCount val="1"/>
                <c:pt idx="0">
                  <c:v>Total</c:v>
                </c:pt>
              </c:strCache>
            </c:strRef>
          </c:tx>
          <c:explosion val="6"/>
          <c:dPt>
            <c:idx val="0"/>
            <c:bubble3D val="0"/>
            <c:spPr>
              <a:solidFill>
                <a:srgbClr val="44841A"/>
              </a:solidFill>
              <a:ln w="19050">
                <a:solidFill>
                  <a:srgbClr val="44841A"/>
                </a:solidFill>
              </a:ln>
              <a:effectLst/>
            </c:spPr>
            <c:extLst>
              <c:ext xmlns:c16="http://schemas.microsoft.com/office/drawing/2014/chart" uri="{C3380CC4-5D6E-409C-BE32-E72D297353CC}">
                <c16:uniqueId val="{00000001-5E77-445B-8EC6-C107B47776AB}"/>
              </c:ext>
            </c:extLst>
          </c:dPt>
          <c:dPt>
            <c:idx val="1"/>
            <c:bubble3D val="0"/>
            <c:explosion val="0"/>
            <c:spPr>
              <a:solidFill>
                <a:srgbClr val="708090"/>
              </a:solidFill>
              <a:ln w="19050">
                <a:solidFill>
                  <a:srgbClr val="708090"/>
                </a:solidFill>
              </a:ln>
              <a:effectLst/>
            </c:spPr>
            <c:extLst>
              <c:ext xmlns:c16="http://schemas.microsoft.com/office/drawing/2014/chart" uri="{C3380CC4-5D6E-409C-BE32-E72D297353CC}">
                <c16:uniqueId val="{00000003-5E77-445B-8EC6-C107B47776AB}"/>
              </c:ext>
            </c:extLst>
          </c:dPt>
          <c:dLbls>
            <c:dLbl>
              <c:idx val="0"/>
              <c:layout>
                <c:manualLayout>
                  <c:x val="-4.5526974732529027E-3"/>
                  <c:y val="0.170530242472688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77-445B-8EC6-C107B47776AB}"/>
                </c:ext>
              </c:extLst>
            </c:dLbl>
            <c:dLbl>
              <c:idx val="1"/>
              <c:layout>
                <c:manualLayout>
                  <c:x val="-3.6421579786023221E-2"/>
                  <c:y val="-0.245137223554489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77-445B-8EC6-C107B47776AB}"/>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'Pivot (2)'!$H$1056:$H$1058</c:f>
              <c:strCache>
                <c:ptCount val="2"/>
                <c:pt idx="0">
                  <c:v>Female</c:v>
                </c:pt>
                <c:pt idx="1">
                  <c:v>Male</c:v>
                </c:pt>
              </c:strCache>
            </c:strRef>
          </c:cat>
          <c:val>
            <c:numRef>
              <c:f>'Pivot (2)'!$I$1056:$I$1058</c:f>
              <c:numCache>
                <c:formatCode>0%</c:formatCode>
                <c:ptCount val="2"/>
                <c:pt idx="0">
                  <c:v>0.6834424695977549</c:v>
                </c:pt>
                <c:pt idx="1">
                  <c:v>0.3165575304022451</c:v>
                </c:pt>
              </c:numCache>
            </c:numRef>
          </c:val>
          <c:extLst>
            <c:ext xmlns:c16="http://schemas.microsoft.com/office/drawing/2014/chart" uri="{C3380CC4-5D6E-409C-BE32-E72D297353CC}">
              <c16:uniqueId val="{00000004-5E77-445B-8EC6-C107B47776A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[OXFAM_SURVEY_FINAL_Jude.xlsx]Pivot!PivotTable52</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888888"/>
          </a:solidFill>
          <a:ln>
            <a:noFill/>
          </a:ln>
          <a:effectLst/>
        </c:spPr>
      </c:pivotFmt>
      <c:pivotFmt>
        <c:idx val="2"/>
        <c:spPr>
          <a:solidFill>
            <a:srgbClr val="E30613"/>
          </a:solidFill>
          <a:ln>
            <a:noFill/>
          </a:ln>
          <a:effectLst/>
        </c:spPr>
      </c:pivotFmt>
      <c:pivotFmt>
        <c:idx val="3"/>
        <c:spPr>
          <a:solidFill>
            <a:srgbClr val="FFC000"/>
          </a:solidFill>
          <a:ln>
            <a:noFill/>
          </a:ln>
          <a:effectLst/>
        </c:spPr>
      </c:pivotFmt>
      <c:pivotFmt>
        <c:idx val="4"/>
        <c:spPr>
          <a:solidFill>
            <a:srgbClr val="88888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888888"/>
          </a:solidFill>
          <a:ln>
            <a:noFill/>
          </a:ln>
          <a:effectLst/>
        </c:spPr>
      </c:pivotFmt>
      <c:pivotFmt>
        <c:idx val="6"/>
        <c:spPr>
          <a:solidFill>
            <a:srgbClr val="E30613"/>
          </a:solidFill>
          <a:ln>
            <a:noFill/>
          </a:ln>
          <a:effectLst/>
        </c:spPr>
      </c:pivotFmt>
      <c:pivotFmt>
        <c:idx val="7"/>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pivotFmt>
      <c:pivotFmt>
        <c:idx val="9"/>
        <c:spPr>
          <a:solidFill>
            <a:srgbClr val="FFC000"/>
          </a:solidFill>
          <a:ln>
            <a:noFill/>
          </a:ln>
          <a:effectLst/>
        </c:spPr>
      </c:pivotFmt>
      <c:pivotFmt>
        <c:idx val="10"/>
        <c:spPr>
          <a:solidFill>
            <a:srgbClr val="FFC000"/>
          </a:solidFill>
          <a:ln>
            <a:noFill/>
          </a:ln>
          <a:effectLst/>
        </c:spPr>
      </c:pivotFmt>
      <c:pivotFmt>
        <c:idx val="11"/>
        <c:spPr>
          <a:solidFill>
            <a:srgbClr val="80C34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80C342"/>
          </a:solidFill>
          <a:ln>
            <a:noFill/>
          </a:ln>
          <a:effectLst/>
        </c:spPr>
      </c:pivotFmt>
      <c:pivotFmt>
        <c:idx val="1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FFFF"/>
          </a:solidFill>
          <a:ln>
            <a:solidFill>
              <a:srgbClr val="92D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noFill/>
          </a:ln>
          <a:effectLst/>
        </c:spPr>
      </c:pivotFmt>
      <c:pivotFmt>
        <c:idx val="18"/>
        <c:spPr>
          <a:solidFill>
            <a:srgbClr val="708090"/>
          </a:solidFill>
          <a:ln>
            <a:noFill/>
          </a:ln>
          <a:effectLst/>
        </c:spPr>
      </c:pivotFmt>
      <c:pivotFmt>
        <c:idx val="1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44841A"/>
          </a:solidFill>
          <a:ln>
            <a:noFill/>
          </a:ln>
          <a:effectLst/>
        </c:spPr>
      </c:pivotFmt>
      <c:pivotFmt>
        <c:idx val="21"/>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pivotFmt>
      <c:pivotFmt>
        <c:idx val="24"/>
      </c:pivotFmt>
      <c:pivotFmt>
        <c:idx val="2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pivotFmt>
      <c:pivotFmt>
        <c:idx val="27"/>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3409263477600606E-2"/>
          <c:y val="0.17574916128190382"/>
          <c:w val="0.94487589974503106"/>
          <c:h val="0.50295644230967596"/>
        </c:manualLayout>
      </c:layout>
      <c:barChart>
        <c:barDir val="col"/>
        <c:grouping val="clustered"/>
        <c:varyColors val="1"/>
        <c:ser>
          <c:idx val="0"/>
          <c:order val="0"/>
          <c:tx>
            <c:strRef>
              <c:f>Pivot!$B$242:$B$243</c:f>
              <c:strCache>
                <c:ptCount val="1"/>
                <c:pt idx="0">
                  <c:v>Biu</c:v>
                </c:pt>
              </c:strCache>
            </c:strRef>
          </c:tx>
          <c:spPr>
            <a:solidFill>
              <a:srgbClr val="708090"/>
            </a:solidFill>
            <a:ln>
              <a:noFill/>
            </a:ln>
            <a:effectLst/>
          </c:spPr>
          <c:invertIfNegative val="0"/>
          <c:dPt>
            <c:idx val="0"/>
            <c:invertIfNegative val="0"/>
            <c:bubble3D val="0"/>
            <c:extLst>
              <c:ext xmlns:c16="http://schemas.microsoft.com/office/drawing/2014/chart" uri="{C3380CC4-5D6E-409C-BE32-E72D297353CC}">
                <c16:uniqueId val="{00000000-1E6E-404B-99ED-12D52F6BDAB4}"/>
              </c:ext>
            </c:extLst>
          </c:dPt>
          <c:dPt>
            <c:idx val="1"/>
            <c:invertIfNegative val="0"/>
            <c:bubble3D val="0"/>
            <c:extLst>
              <c:ext xmlns:c16="http://schemas.microsoft.com/office/drawing/2014/chart" uri="{C3380CC4-5D6E-409C-BE32-E72D297353CC}">
                <c16:uniqueId val="{00000001-1E6E-404B-99ED-12D52F6BDAB4}"/>
              </c:ext>
            </c:extLst>
          </c:dPt>
          <c:dPt>
            <c:idx val="2"/>
            <c:invertIfNegative val="0"/>
            <c:bubble3D val="0"/>
            <c:extLst>
              <c:ext xmlns:c16="http://schemas.microsoft.com/office/drawing/2014/chart" uri="{C3380CC4-5D6E-409C-BE32-E72D297353CC}">
                <c16:uniqueId val="{00000002-1E6E-404B-99ED-12D52F6BDAB4}"/>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Pivot!$A$244:$A$248</c:f>
              <c:strCache>
                <c:ptCount val="4"/>
                <c:pt idx="0">
                  <c:v>Very strong  </c:v>
                </c:pt>
                <c:pt idx="1">
                  <c:v>Moderate  </c:v>
                </c:pt>
                <c:pt idx="2">
                  <c:v>Weak  </c:v>
                </c:pt>
                <c:pt idx="3">
                  <c:v>Very weak</c:v>
                </c:pt>
              </c:strCache>
            </c:strRef>
          </c:cat>
          <c:val>
            <c:numRef>
              <c:f>Pivot!$B$244:$B$248</c:f>
              <c:numCache>
                <c:formatCode>0%</c:formatCode>
                <c:ptCount val="4"/>
                <c:pt idx="0">
                  <c:v>0.7</c:v>
                </c:pt>
                <c:pt idx="1">
                  <c:v>0.20588235294117646</c:v>
                </c:pt>
                <c:pt idx="2">
                  <c:v>7.6470588235294124E-2</c:v>
                </c:pt>
                <c:pt idx="3">
                  <c:v>1.7647058823529412E-2</c:v>
                </c:pt>
              </c:numCache>
            </c:numRef>
          </c:val>
          <c:extLst>
            <c:ext xmlns:c16="http://schemas.microsoft.com/office/drawing/2014/chart" uri="{C3380CC4-5D6E-409C-BE32-E72D297353CC}">
              <c16:uniqueId val="{00000003-1E6E-404B-99ED-12D52F6BDAB4}"/>
            </c:ext>
          </c:extLst>
        </c:ser>
        <c:ser>
          <c:idx val="1"/>
          <c:order val="1"/>
          <c:tx>
            <c:strRef>
              <c:f>Pivot!$C$242:$C$243</c:f>
              <c:strCache>
                <c:ptCount val="1"/>
                <c:pt idx="0">
                  <c:v>Guyuk</c:v>
                </c:pt>
              </c:strCache>
            </c:strRef>
          </c:tx>
          <c:spPr>
            <a:solidFill>
              <a:srgbClr val="44841A"/>
            </a:solidFill>
            <a:ln>
              <a:noFill/>
            </a:ln>
            <a:effectLst/>
          </c:spPr>
          <c:invertIfNegative val="0"/>
          <c:dPt>
            <c:idx val="0"/>
            <c:invertIfNegative val="0"/>
            <c:bubble3D val="0"/>
            <c:extLst>
              <c:ext xmlns:c16="http://schemas.microsoft.com/office/drawing/2014/chart" uri="{C3380CC4-5D6E-409C-BE32-E72D297353CC}">
                <c16:uniqueId val="{00000004-1E6E-404B-99ED-12D52F6BDAB4}"/>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Pivot!$A$244:$A$248</c:f>
              <c:strCache>
                <c:ptCount val="4"/>
                <c:pt idx="0">
                  <c:v>Very strong  </c:v>
                </c:pt>
                <c:pt idx="1">
                  <c:v>Moderate  </c:v>
                </c:pt>
                <c:pt idx="2">
                  <c:v>Weak  </c:v>
                </c:pt>
                <c:pt idx="3">
                  <c:v>Very weak</c:v>
                </c:pt>
              </c:strCache>
            </c:strRef>
          </c:cat>
          <c:val>
            <c:numRef>
              <c:f>Pivot!$C$244:$C$248</c:f>
              <c:numCache>
                <c:formatCode>0%</c:formatCode>
                <c:ptCount val="4"/>
                <c:pt idx="0">
                  <c:v>0.51207729468599039</c:v>
                </c:pt>
                <c:pt idx="1">
                  <c:v>0.43478260869565216</c:v>
                </c:pt>
                <c:pt idx="2">
                  <c:v>4.3478260869565216E-2</c:v>
                </c:pt>
                <c:pt idx="3">
                  <c:v>9.6618357487922701E-3</c:v>
                </c:pt>
              </c:numCache>
            </c:numRef>
          </c:val>
          <c:extLst>
            <c:ext xmlns:c16="http://schemas.microsoft.com/office/drawing/2014/chart" uri="{C3380CC4-5D6E-409C-BE32-E72D297353CC}">
              <c16:uniqueId val="{00000005-1E6E-404B-99ED-12D52F6BDAB4}"/>
            </c:ext>
          </c:extLst>
        </c:ser>
        <c:ser>
          <c:idx val="2"/>
          <c:order val="2"/>
          <c:tx>
            <c:strRef>
              <c:f>Pivot!$D$242:$D$243</c:f>
              <c:strCache>
                <c:ptCount val="1"/>
                <c:pt idx="0">
                  <c:v>Kwaya Kusar</c:v>
                </c:pt>
              </c:strCache>
            </c:strRef>
          </c:tx>
          <c:spPr>
            <a:solidFill>
              <a:srgbClr val="00606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Pivot!$A$244:$A$248</c:f>
              <c:strCache>
                <c:ptCount val="4"/>
                <c:pt idx="0">
                  <c:v>Very strong  </c:v>
                </c:pt>
                <c:pt idx="1">
                  <c:v>Moderate  </c:v>
                </c:pt>
                <c:pt idx="2">
                  <c:v>Weak  </c:v>
                </c:pt>
                <c:pt idx="3">
                  <c:v>Very weak</c:v>
                </c:pt>
              </c:strCache>
            </c:strRef>
          </c:cat>
          <c:val>
            <c:numRef>
              <c:f>Pivot!$D$244:$D$248</c:f>
              <c:numCache>
                <c:formatCode>0%</c:formatCode>
                <c:ptCount val="4"/>
                <c:pt idx="0">
                  <c:v>0.64406779661016944</c:v>
                </c:pt>
                <c:pt idx="1">
                  <c:v>0.20338983050847459</c:v>
                </c:pt>
                <c:pt idx="2">
                  <c:v>0.15254237288135594</c:v>
                </c:pt>
                <c:pt idx="3">
                  <c:v>0</c:v>
                </c:pt>
              </c:numCache>
            </c:numRef>
          </c:val>
          <c:extLst>
            <c:ext xmlns:c16="http://schemas.microsoft.com/office/drawing/2014/chart" uri="{C3380CC4-5D6E-409C-BE32-E72D297353CC}">
              <c16:uniqueId val="{00000006-1E6E-404B-99ED-12D52F6BDAB4}"/>
            </c:ext>
          </c:extLst>
        </c:ser>
        <c:dLbls>
          <c:dLblPos val="outEnd"/>
          <c:showLegendKey val="0"/>
          <c:showVal val="1"/>
          <c:showCatName val="0"/>
          <c:showSerName val="0"/>
          <c:showPercent val="0"/>
          <c:showBubbleSize val="0"/>
        </c:dLbls>
        <c:gapWidth val="219"/>
        <c:overlap val="-27"/>
        <c:axId val="1751594304"/>
        <c:axId val="1751592224"/>
      </c:barChart>
      <c:catAx>
        <c:axId val="1751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1592224"/>
        <c:crosses val="autoZero"/>
        <c:auto val="1"/>
        <c:lblAlgn val="ctr"/>
        <c:lblOffset val="100"/>
        <c:noMultiLvlLbl val="0"/>
      </c:catAx>
      <c:valAx>
        <c:axId val="1751592224"/>
        <c:scaling>
          <c:orientation val="minMax"/>
        </c:scaling>
        <c:delete val="1"/>
        <c:axPos val="l"/>
        <c:numFmt formatCode="0%" sourceLinked="1"/>
        <c:majorTickMark val="none"/>
        <c:minorTickMark val="none"/>
        <c:tickLblPos val="nextTo"/>
        <c:crossAx val="1751594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0" cap="flat" cmpd="sng" algn="ctr">
      <a:solidFill>
        <a:sysClr val="windowText" lastClr="000000">
          <a:lumMod val="15000"/>
          <a:lumOff val="85000"/>
        </a:sysClr>
      </a:solidFill>
      <a:round/>
    </a:ln>
    <a:effectLst/>
  </c:spPr>
  <c:txPr>
    <a:bodyPr/>
    <a:lstStyle/>
    <a:p>
      <a:pPr>
        <a:defRPr sz="900">
          <a:latin typeface="Garamond" panose="02020404030301010803"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[MRTab.xlsx]Pivots!PivotTable27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44841A"/>
          </a:solidFill>
          <a:ln>
            <a:solidFill>
              <a:srgbClr val="44841A"/>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44841A"/>
          </a:solidFill>
          <a:ln>
            <a:solidFill>
              <a:srgbClr val="44841A"/>
            </a:solidFill>
          </a:ln>
          <a:effectLst/>
        </c:spPr>
        <c:dLbl>
          <c:idx val="0"/>
          <c:layout>
            <c:manualLayout>
              <c:x val="1.9942388654996635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708090"/>
          </a:solidFill>
          <a:ln>
            <a:solidFill>
              <a:srgbClr val="708090"/>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3"/>
          </a:solidFill>
          <a:ln>
            <a:noFill/>
          </a:ln>
          <a:effectLst/>
        </c:spPr>
        <c:dLbl>
          <c:idx val="0"/>
          <c:layout>
            <c:manualLayout>
              <c:x val="-1.7726567693330378E-2"/>
              <c:y val="1.024327784891146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3"/>
          </a:solidFill>
          <a:ln>
            <a:noFill/>
          </a:ln>
          <a:effectLst/>
        </c:spPr>
        <c:dLbl>
          <c:idx val="0"/>
          <c:layout>
            <c:manualLayout>
              <c:x val="-1.7726567693330378E-2"/>
              <c:y val="1.0243277848911651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Pivots!$B$151:$B$152</c:f>
              <c:strCache>
                <c:ptCount val="1"/>
                <c:pt idx="0">
                  <c:v>Biu</c:v>
                </c:pt>
              </c:strCache>
            </c:strRef>
          </c:tx>
          <c:spPr>
            <a:solidFill>
              <a:srgbClr val="44841A"/>
            </a:solidFill>
            <a:ln>
              <a:solidFill>
                <a:srgbClr val="44841A"/>
              </a:solidFill>
            </a:ln>
            <a:effectLst/>
          </c:spPr>
          <c:invertIfNegative val="0"/>
          <c:dLbls>
            <c:dLbl>
              <c:idx val="0"/>
              <c:layout>
                <c:manualLayout>
                  <c:x val="1.9942388654996635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2A-4AF5-A327-661E5D0A19E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Pivots!$A$153:$A$159</c:f>
              <c:strCache>
                <c:ptCount val="6"/>
                <c:pt idx="0">
                  <c:v>Resistance from local gatekeepers or influential persons</c:v>
                </c:pt>
                <c:pt idx="1">
                  <c:v>Ethnic or religious tensions</c:v>
                </c:pt>
                <c:pt idx="2">
                  <c:v>Distrust between citizens and government actors</c:v>
                </c:pt>
                <c:pt idx="3">
                  <c:v>Exclusion of minority or marginalized groups</c:v>
                </c:pt>
                <c:pt idx="4">
                  <c:v>Power struggles among traditional/community leaders</c:v>
                </c:pt>
                <c:pt idx="5">
                  <c:v>Political interference or elite capture</c:v>
                </c:pt>
              </c:strCache>
            </c:strRef>
          </c:cat>
          <c:val>
            <c:numRef>
              <c:f>Pivots!$B$153:$B$159</c:f>
              <c:numCache>
                <c:formatCode>0%</c:formatCode>
                <c:ptCount val="6"/>
                <c:pt idx="0">
                  <c:v>6.0240963855421686E-2</c:v>
                </c:pt>
                <c:pt idx="1">
                  <c:v>0.11244979919678715</c:v>
                </c:pt>
                <c:pt idx="2">
                  <c:v>0.13654618473895583</c:v>
                </c:pt>
                <c:pt idx="3">
                  <c:v>0.1646586345381526</c:v>
                </c:pt>
                <c:pt idx="4">
                  <c:v>0.26104417670682734</c:v>
                </c:pt>
                <c:pt idx="5">
                  <c:v>0.26506024096385544</c:v>
                </c:pt>
              </c:numCache>
            </c:numRef>
          </c:val>
          <c:extLst>
            <c:ext xmlns:c16="http://schemas.microsoft.com/office/drawing/2014/chart" uri="{C3380CC4-5D6E-409C-BE32-E72D297353CC}">
              <c16:uniqueId val="{00000001-C42A-4AF5-A327-661E5D0A19EE}"/>
            </c:ext>
          </c:extLst>
        </c:ser>
        <c:ser>
          <c:idx val="1"/>
          <c:order val="1"/>
          <c:tx>
            <c:strRef>
              <c:f>Pivots!$C$151:$C$152</c:f>
              <c:strCache>
                <c:ptCount val="1"/>
                <c:pt idx="0">
                  <c:v>Guyuk</c:v>
                </c:pt>
              </c:strCache>
            </c:strRef>
          </c:tx>
          <c:spPr>
            <a:solidFill>
              <a:srgbClr val="708090"/>
            </a:solidFill>
            <a:ln>
              <a:solidFill>
                <a:srgbClr val="70809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Pivots!$A$153:$A$159</c:f>
              <c:strCache>
                <c:ptCount val="6"/>
                <c:pt idx="0">
                  <c:v>Resistance from local gatekeepers or influential persons</c:v>
                </c:pt>
                <c:pt idx="1">
                  <c:v>Ethnic or religious tensions</c:v>
                </c:pt>
                <c:pt idx="2">
                  <c:v>Distrust between citizens and government actors</c:v>
                </c:pt>
                <c:pt idx="3">
                  <c:v>Exclusion of minority or marginalized groups</c:v>
                </c:pt>
                <c:pt idx="4">
                  <c:v>Power struggles among traditional/community leaders</c:v>
                </c:pt>
                <c:pt idx="5">
                  <c:v>Political interference or elite capture</c:v>
                </c:pt>
              </c:strCache>
            </c:strRef>
          </c:cat>
          <c:val>
            <c:numRef>
              <c:f>Pivots!$C$153:$C$159</c:f>
              <c:numCache>
                <c:formatCode>0%</c:formatCode>
                <c:ptCount val="6"/>
                <c:pt idx="0">
                  <c:v>3.7151702786377708E-2</c:v>
                </c:pt>
                <c:pt idx="1">
                  <c:v>4.3343653250773995E-2</c:v>
                </c:pt>
                <c:pt idx="2">
                  <c:v>0.19504643962848298</c:v>
                </c:pt>
                <c:pt idx="3">
                  <c:v>0.27863777089783281</c:v>
                </c:pt>
                <c:pt idx="4">
                  <c:v>0.23839009287925697</c:v>
                </c:pt>
                <c:pt idx="5">
                  <c:v>0.20743034055727555</c:v>
                </c:pt>
              </c:numCache>
            </c:numRef>
          </c:val>
          <c:extLst>
            <c:ext xmlns:c16="http://schemas.microsoft.com/office/drawing/2014/chart" uri="{C3380CC4-5D6E-409C-BE32-E72D297353CC}">
              <c16:uniqueId val="{00000002-C42A-4AF5-A327-661E5D0A19EE}"/>
            </c:ext>
          </c:extLst>
        </c:ser>
        <c:ser>
          <c:idx val="2"/>
          <c:order val="2"/>
          <c:tx>
            <c:strRef>
              <c:f>Pivots!$D$151:$D$152</c:f>
              <c:strCache>
                <c:ptCount val="1"/>
                <c:pt idx="0">
                  <c:v>Kwaya Kusar</c:v>
                </c:pt>
              </c:strCache>
            </c:strRef>
          </c:tx>
          <c:spPr>
            <a:solidFill>
              <a:schemeClr val="accent3"/>
            </a:solidFill>
            <a:ln>
              <a:noFill/>
            </a:ln>
            <a:effectLst/>
          </c:spPr>
          <c:invertIfNegative val="0"/>
          <c:dLbls>
            <c:dLbl>
              <c:idx val="0"/>
              <c:layout>
                <c:manualLayout>
                  <c:x val="-1.7726567693330378E-2"/>
                  <c:y val="1.02432778489114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2A-4AF5-A327-661E5D0A19EE}"/>
                </c:ext>
              </c:extLst>
            </c:dLbl>
            <c:dLbl>
              <c:idx val="1"/>
              <c:layout>
                <c:manualLayout>
                  <c:x val="-1.5510746731664082E-2"/>
                  <c:y val="1.41843971631205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2A-4AF5-A327-661E5D0A19EE}"/>
                </c:ext>
              </c:extLst>
            </c:dLbl>
            <c:dLbl>
              <c:idx val="3"/>
              <c:layout>
                <c:manualLayout>
                  <c:x val="-1.7726567693330378E-2"/>
                  <c:y val="1.02432778489116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2A-4AF5-A327-661E5D0A19E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Garamond" panose="020204040303010108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Pivots!$A$153:$A$159</c:f>
              <c:strCache>
                <c:ptCount val="6"/>
                <c:pt idx="0">
                  <c:v>Resistance from local gatekeepers or influential persons</c:v>
                </c:pt>
                <c:pt idx="1">
                  <c:v>Ethnic or religious tensions</c:v>
                </c:pt>
                <c:pt idx="2">
                  <c:v>Distrust between citizens and government actors</c:v>
                </c:pt>
                <c:pt idx="3">
                  <c:v>Exclusion of minority or marginalized groups</c:v>
                </c:pt>
                <c:pt idx="4">
                  <c:v>Power struggles among traditional/community leaders</c:v>
                </c:pt>
                <c:pt idx="5">
                  <c:v>Political interference or elite capture</c:v>
                </c:pt>
              </c:strCache>
            </c:strRef>
          </c:cat>
          <c:val>
            <c:numRef>
              <c:f>Pivots!$D$153:$D$159</c:f>
              <c:numCache>
                <c:formatCode>0%</c:formatCode>
                <c:ptCount val="6"/>
                <c:pt idx="0">
                  <c:v>8.8888888888888892E-2</c:v>
                </c:pt>
                <c:pt idx="1">
                  <c:v>0</c:v>
                </c:pt>
                <c:pt idx="2">
                  <c:v>0.13333333333333333</c:v>
                </c:pt>
                <c:pt idx="3">
                  <c:v>8.8888888888888892E-2</c:v>
                </c:pt>
                <c:pt idx="4">
                  <c:v>0.24444444444444444</c:v>
                </c:pt>
                <c:pt idx="5">
                  <c:v>0.44444444444444442</c:v>
                </c:pt>
              </c:numCache>
            </c:numRef>
          </c:val>
          <c:extLst>
            <c:ext xmlns:c16="http://schemas.microsoft.com/office/drawing/2014/chart" uri="{C3380CC4-5D6E-409C-BE32-E72D297353CC}">
              <c16:uniqueId val="{00000005-C42A-4AF5-A327-661E5D0A19EE}"/>
            </c:ext>
          </c:extLst>
        </c:ser>
        <c:dLbls>
          <c:dLblPos val="ctr"/>
          <c:showLegendKey val="0"/>
          <c:showVal val="1"/>
          <c:showCatName val="0"/>
          <c:showSerName val="0"/>
          <c:showPercent val="0"/>
          <c:showBubbleSize val="0"/>
        </c:dLbls>
        <c:gapWidth val="0"/>
        <c:overlap val="76"/>
        <c:axId val="2027756511"/>
        <c:axId val="2027767071"/>
      </c:barChart>
      <c:catAx>
        <c:axId val="2027756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27767071"/>
        <c:crosses val="autoZero"/>
        <c:auto val="1"/>
        <c:lblAlgn val="ctr"/>
        <c:lblOffset val="100"/>
        <c:noMultiLvlLbl val="0"/>
      </c:catAx>
      <c:valAx>
        <c:axId val="2027767071"/>
        <c:scaling>
          <c:orientation val="minMax"/>
        </c:scaling>
        <c:delete val="1"/>
        <c:axPos val="b"/>
        <c:numFmt formatCode="0%" sourceLinked="1"/>
        <c:majorTickMark val="none"/>
        <c:minorTickMark val="none"/>
        <c:tickLblPos val="nextTo"/>
        <c:crossAx val="202775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extLst/>
  </c:chart>
  <c:spPr>
    <a:solidFill>
      <a:schemeClr val="bg1"/>
    </a:solidFill>
    <a:ln w="0"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[MRTab.xlsx]Pivots!PivotTable29</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888888"/>
          </a:solidFill>
          <a:ln>
            <a:noFill/>
          </a:ln>
          <a:effectLst/>
        </c:spPr>
      </c:pivotFmt>
      <c:pivotFmt>
        <c:idx val="2"/>
        <c:spPr>
          <a:solidFill>
            <a:srgbClr val="E30613"/>
          </a:solidFill>
          <a:ln>
            <a:noFill/>
          </a:ln>
          <a:effectLst/>
        </c:spPr>
      </c:pivotFmt>
      <c:pivotFmt>
        <c:idx val="3"/>
        <c:spPr>
          <a:solidFill>
            <a:srgbClr val="FFC000"/>
          </a:solidFill>
          <a:ln>
            <a:noFill/>
          </a:ln>
          <a:effectLst/>
        </c:spPr>
      </c:pivotFmt>
      <c:pivotFmt>
        <c:idx val="4"/>
        <c:spPr>
          <a:solidFill>
            <a:srgbClr val="88888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888888"/>
          </a:solidFill>
          <a:ln>
            <a:noFill/>
          </a:ln>
          <a:effectLst/>
        </c:spPr>
      </c:pivotFmt>
      <c:pivotFmt>
        <c:idx val="6"/>
        <c:spPr>
          <a:solidFill>
            <a:srgbClr val="E30613"/>
          </a:solidFill>
          <a:ln>
            <a:noFill/>
          </a:ln>
          <a:effectLst/>
        </c:spPr>
      </c:pivotFmt>
      <c:pivotFmt>
        <c:idx val="7"/>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pivotFmt>
      <c:pivotFmt>
        <c:idx val="9"/>
        <c:spPr>
          <a:solidFill>
            <a:srgbClr val="FFC000"/>
          </a:solidFill>
          <a:ln>
            <a:noFill/>
          </a:ln>
          <a:effectLst/>
        </c:spPr>
      </c:pivotFmt>
      <c:pivotFmt>
        <c:idx val="10"/>
        <c:spPr>
          <a:solidFill>
            <a:srgbClr val="FFC000"/>
          </a:solidFill>
          <a:ln>
            <a:noFill/>
          </a:ln>
          <a:effectLst/>
        </c:spPr>
      </c:pivotFmt>
      <c:pivotFmt>
        <c:idx val="11"/>
        <c:spPr>
          <a:solidFill>
            <a:srgbClr val="80C34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80C342"/>
          </a:solidFill>
          <a:ln>
            <a:noFill/>
          </a:ln>
          <a:effectLst/>
        </c:spPr>
      </c:pivotFmt>
      <c:pivotFmt>
        <c:idx val="1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FFFF"/>
          </a:solidFill>
          <a:ln>
            <a:solidFill>
              <a:srgbClr val="92D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708090"/>
          </a:solidFill>
          <a:ln>
            <a:noFill/>
          </a:ln>
          <a:effectLst/>
        </c:spPr>
      </c:pivotFmt>
      <c:pivotFmt>
        <c:idx val="18"/>
        <c:spPr>
          <a:solidFill>
            <a:srgbClr val="708090"/>
          </a:solidFill>
          <a:ln>
            <a:noFill/>
          </a:ln>
          <a:effectLst/>
        </c:spPr>
      </c:pivotFmt>
      <c:pivotFmt>
        <c:idx val="1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44841A"/>
          </a:solidFill>
          <a:ln>
            <a:noFill/>
          </a:ln>
          <a:effectLst/>
        </c:spPr>
      </c:pivotFmt>
      <c:pivotFmt>
        <c:idx val="21"/>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pivotFmt>
      <c:pivotFmt>
        <c:idx val="24"/>
      </c:pivotFmt>
      <c:pivotFmt>
        <c:idx val="2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pivotFmt>
      <c:pivotFmt>
        <c:idx val="27"/>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70809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44841A"/>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00606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3409263477600606E-2"/>
          <c:y val="2.6499513403521188E-2"/>
          <c:w val="0.94487589974503106"/>
          <c:h val="0.60908943203781074"/>
        </c:manualLayout>
      </c:layout>
      <c:barChart>
        <c:barDir val="col"/>
        <c:grouping val="clustered"/>
        <c:varyColors val="1"/>
        <c:ser>
          <c:idx val="0"/>
          <c:order val="0"/>
          <c:tx>
            <c:strRef>
              <c:f>Pivots!$B$176:$B$177</c:f>
              <c:strCache>
                <c:ptCount val="1"/>
                <c:pt idx="0">
                  <c:v>Biu</c:v>
                </c:pt>
              </c:strCache>
            </c:strRef>
          </c:tx>
          <c:spPr>
            <a:solidFill>
              <a:srgbClr val="708090"/>
            </a:solidFill>
            <a:ln>
              <a:noFill/>
            </a:ln>
            <a:effectLst/>
          </c:spPr>
          <c:invertIfNegative val="0"/>
          <c:dPt>
            <c:idx val="0"/>
            <c:invertIfNegative val="0"/>
            <c:bubble3D val="0"/>
            <c:extLst>
              <c:ext xmlns:c16="http://schemas.microsoft.com/office/drawing/2014/chart" uri="{C3380CC4-5D6E-409C-BE32-E72D297353CC}">
                <c16:uniqueId val="{00000000-1731-4C7E-93DD-1AD821E90E5D}"/>
              </c:ext>
            </c:extLst>
          </c:dPt>
          <c:dPt>
            <c:idx val="1"/>
            <c:invertIfNegative val="0"/>
            <c:bubble3D val="0"/>
            <c:extLst>
              <c:ext xmlns:c16="http://schemas.microsoft.com/office/drawing/2014/chart" uri="{C3380CC4-5D6E-409C-BE32-E72D297353CC}">
                <c16:uniqueId val="{00000001-1731-4C7E-93DD-1AD821E90E5D}"/>
              </c:ext>
            </c:extLst>
          </c:dPt>
          <c:dPt>
            <c:idx val="2"/>
            <c:invertIfNegative val="0"/>
            <c:bubble3D val="0"/>
            <c:extLst>
              <c:ext xmlns:c16="http://schemas.microsoft.com/office/drawing/2014/chart" uri="{C3380CC4-5D6E-409C-BE32-E72D297353CC}">
                <c16:uniqueId val="{00000002-1731-4C7E-93DD-1AD821E90E5D}"/>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Pivots!$A$178:$A$184</c:f>
              <c:strCache>
                <c:ptCount val="6"/>
                <c:pt idx="0">
                  <c:v>Lack of trust in government or NGOs </c:v>
                </c:pt>
                <c:pt idx="1">
                  <c:v>Gender or social exclusion</c:v>
                </c:pt>
                <c:pt idx="2">
                  <c:v>Resistance from community gatekeepers</c:v>
                </c:pt>
                <c:pt idx="3">
                  <c:v>Security issues or violence</c:v>
                </c:pt>
                <c:pt idx="4">
                  <c:v>Political interference</c:v>
                </c:pt>
                <c:pt idx="5">
                  <c:v>Poor coordination among stakeholders</c:v>
                </c:pt>
              </c:strCache>
            </c:strRef>
          </c:cat>
          <c:val>
            <c:numRef>
              <c:f>Pivots!$B$178:$B$184</c:f>
              <c:numCache>
                <c:formatCode>0%</c:formatCode>
                <c:ptCount val="6"/>
                <c:pt idx="0">
                  <c:v>3.7735849056603772E-2</c:v>
                </c:pt>
                <c:pt idx="1">
                  <c:v>4.2452830188679243E-2</c:v>
                </c:pt>
                <c:pt idx="2">
                  <c:v>0.12735849056603774</c:v>
                </c:pt>
                <c:pt idx="3">
                  <c:v>0.46226415094339623</c:v>
                </c:pt>
                <c:pt idx="4">
                  <c:v>0.22641509433962265</c:v>
                </c:pt>
                <c:pt idx="5">
                  <c:v>0.10377358490566038</c:v>
                </c:pt>
              </c:numCache>
            </c:numRef>
          </c:val>
          <c:extLst>
            <c:ext xmlns:c16="http://schemas.microsoft.com/office/drawing/2014/chart" uri="{C3380CC4-5D6E-409C-BE32-E72D297353CC}">
              <c16:uniqueId val="{00000003-1731-4C7E-93DD-1AD821E90E5D}"/>
            </c:ext>
          </c:extLst>
        </c:ser>
        <c:ser>
          <c:idx val="1"/>
          <c:order val="1"/>
          <c:tx>
            <c:strRef>
              <c:f>Pivots!$C$176:$C$177</c:f>
              <c:strCache>
                <c:ptCount val="1"/>
                <c:pt idx="0">
                  <c:v>Guyuk</c:v>
                </c:pt>
              </c:strCache>
            </c:strRef>
          </c:tx>
          <c:spPr>
            <a:solidFill>
              <a:srgbClr val="44841A"/>
            </a:solidFill>
            <a:ln>
              <a:noFill/>
            </a:ln>
            <a:effectLst/>
          </c:spPr>
          <c:invertIfNegative val="0"/>
          <c:dPt>
            <c:idx val="0"/>
            <c:invertIfNegative val="0"/>
            <c:bubble3D val="0"/>
            <c:extLst>
              <c:ext xmlns:c16="http://schemas.microsoft.com/office/drawing/2014/chart" uri="{C3380CC4-5D6E-409C-BE32-E72D297353CC}">
                <c16:uniqueId val="{00000004-1731-4C7E-93DD-1AD821E90E5D}"/>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Pivots!$A$178:$A$184</c:f>
              <c:strCache>
                <c:ptCount val="6"/>
                <c:pt idx="0">
                  <c:v>Lack of trust in government or NGOs </c:v>
                </c:pt>
                <c:pt idx="1">
                  <c:v>Gender or social exclusion</c:v>
                </c:pt>
                <c:pt idx="2">
                  <c:v>Resistance from community gatekeepers</c:v>
                </c:pt>
                <c:pt idx="3">
                  <c:v>Security issues or violence</c:v>
                </c:pt>
                <c:pt idx="4">
                  <c:v>Political interference</c:v>
                </c:pt>
                <c:pt idx="5">
                  <c:v>Poor coordination among stakeholders</c:v>
                </c:pt>
              </c:strCache>
            </c:strRef>
          </c:cat>
          <c:val>
            <c:numRef>
              <c:f>Pivots!$C$178:$C$184</c:f>
              <c:numCache>
                <c:formatCode>0%</c:formatCode>
                <c:ptCount val="6"/>
                <c:pt idx="0">
                  <c:v>0.10746268656716418</c:v>
                </c:pt>
                <c:pt idx="1">
                  <c:v>0.11343283582089553</c:v>
                </c:pt>
                <c:pt idx="2">
                  <c:v>5.9701492537313432E-2</c:v>
                </c:pt>
                <c:pt idx="3">
                  <c:v>0.12238805970149254</c:v>
                </c:pt>
                <c:pt idx="4">
                  <c:v>0.22089552238805971</c:v>
                </c:pt>
                <c:pt idx="5">
                  <c:v>0.37611940298507462</c:v>
                </c:pt>
              </c:numCache>
            </c:numRef>
          </c:val>
          <c:extLst>
            <c:ext xmlns:c16="http://schemas.microsoft.com/office/drawing/2014/chart" uri="{C3380CC4-5D6E-409C-BE32-E72D297353CC}">
              <c16:uniqueId val="{00000005-1731-4C7E-93DD-1AD821E90E5D}"/>
            </c:ext>
          </c:extLst>
        </c:ser>
        <c:ser>
          <c:idx val="2"/>
          <c:order val="2"/>
          <c:tx>
            <c:strRef>
              <c:f>Pivots!$D$176:$D$177</c:f>
              <c:strCache>
                <c:ptCount val="1"/>
                <c:pt idx="0">
                  <c:v>Kwaya Kusar</c:v>
                </c:pt>
              </c:strCache>
            </c:strRef>
          </c:tx>
          <c:spPr>
            <a:solidFill>
              <a:srgbClr val="00606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Pivots!$A$178:$A$184</c:f>
              <c:strCache>
                <c:ptCount val="6"/>
                <c:pt idx="0">
                  <c:v>Lack of trust in government or NGOs </c:v>
                </c:pt>
                <c:pt idx="1">
                  <c:v>Gender or social exclusion</c:v>
                </c:pt>
                <c:pt idx="2">
                  <c:v>Resistance from community gatekeepers</c:v>
                </c:pt>
                <c:pt idx="3">
                  <c:v>Security issues or violence</c:v>
                </c:pt>
                <c:pt idx="4">
                  <c:v>Political interference</c:v>
                </c:pt>
                <c:pt idx="5">
                  <c:v>Poor coordination among stakeholders</c:v>
                </c:pt>
              </c:strCache>
            </c:strRef>
          </c:cat>
          <c:val>
            <c:numRef>
              <c:f>Pivots!$D$178:$D$184</c:f>
              <c:numCache>
                <c:formatCode>0%</c:formatCode>
                <c:ptCount val="6"/>
                <c:pt idx="0">
                  <c:v>2.5316455696202531E-2</c:v>
                </c:pt>
                <c:pt idx="1">
                  <c:v>8.8607594936708861E-2</c:v>
                </c:pt>
                <c:pt idx="2">
                  <c:v>0.15189873417721519</c:v>
                </c:pt>
                <c:pt idx="3">
                  <c:v>8.8607594936708861E-2</c:v>
                </c:pt>
                <c:pt idx="4">
                  <c:v>0.36708860759493672</c:v>
                </c:pt>
                <c:pt idx="5">
                  <c:v>0.27848101265822783</c:v>
                </c:pt>
              </c:numCache>
            </c:numRef>
          </c:val>
          <c:extLst>
            <c:ext xmlns:c16="http://schemas.microsoft.com/office/drawing/2014/chart" uri="{C3380CC4-5D6E-409C-BE32-E72D297353CC}">
              <c16:uniqueId val="{00000006-1731-4C7E-93DD-1AD821E90E5D}"/>
            </c:ext>
          </c:extLst>
        </c:ser>
        <c:dLbls>
          <c:dLblPos val="outEnd"/>
          <c:showLegendKey val="0"/>
          <c:showVal val="1"/>
          <c:showCatName val="0"/>
          <c:showSerName val="0"/>
          <c:showPercent val="0"/>
          <c:showBubbleSize val="0"/>
        </c:dLbls>
        <c:gapWidth val="219"/>
        <c:overlap val="-27"/>
        <c:axId val="1751594304"/>
        <c:axId val="1751592224"/>
      </c:barChart>
      <c:catAx>
        <c:axId val="1751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1592224"/>
        <c:crosses val="autoZero"/>
        <c:auto val="1"/>
        <c:lblAlgn val="ctr"/>
        <c:lblOffset val="100"/>
        <c:noMultiLvlLbl val="0"/>
      </c:catAx>
      <c:valAx>
        <c:axId val="1751592224"/>
        <c:scaling>
          <c:orientation val="minMax"/>
        </c:scaling>
        <c:delete val="1"/>
        <c:axPos val="l"/>
        <c:numFmt formatCode="0%" sourceLinked="1"/>
        <c:majorTickMark val="none"/>
        <c:minorTickMark val="none"/>
        <c:tickLblPos val="nextTo"/>
        <c:crossAx val="1751594304"/>
        <c:crosses val="autoZero"/>
        <c:crossBetween val="between"/>
      </c:valAx>
      <c:spPr>
        <a:noFill/>
        <a:ln>
          <a:noFill/>
        </a:ln>
        <a:effectLst/>
      </c:spPr>
    </c:plotArea>
    <c:legend>
      <c:legendPos val="b"/>
      <c:overlay val="0"/>
      <c:spPr>
        <a:noFill/>
        <a:ln>
          <a:noFill/>
        </a:ln>
        <a:effectLst/>
      </c:spPr>
      <c:txPr>
        <a:bodyPr rot="0" vert="horz"/>
        <a:lstStyle/>
        <a:p>
          <a:pPr>
            <a:defRPr sz="900"/>
          </a:pPr>
          <a:endParaRPr lang="en-US"/>
        </a:p>
      </c:txPr>
    </c:legend>
    <c:plotVisOnly val="1"/>
    <c:dispBlanksAs val="gap"/>
    <c:showDLblsOverMax val="0"/>
    <c:extLst/>
  </c:chart>
  <c:spPr>
    <a:solidFill>
      <a:schemeClr val="bg1"/>
    </a:solidFill>
    <a:ln w="0" cap="flat" cmpd="sng" algn="ctr">
      <a:solidFill>
        <a:sysClr val="windowText" lastClr="000000">
          <a:lumMod val="15000"/>
          <a:lumOff val="85000"/>
        </a:sysClr>
      </a:solidFill>
      <a:round/>
    </a:ln>
    <a:effectLst/>
  </c:spPr>
  <c:txPr>
    <a:bodyPr/>
    <a:lstStyle/>
    <a:p>
      <a:pPr>
        <a:defRPr sz="800"/>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kEctCr1nzZpzfgYveiqJRltaqQ==">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</go:docsCustomData>
</go:gDocsCustomXmlDataStorage>
</file>

<file path=customXml/itemProps1.xml><?xml version="1.0" encoding="utf-8"?>
<ds:datastoreItem xmlns:ds="http://schemas.openxmlformats.org/officeDocument/2006/customXml" ds:itemID="{AF2ED251-CE3F-465B-9735-0E8669A73B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17656</Words>
  <Characters>106825</Characters>
  <Application>Microsoft Office Word</Application>
  <DocSecurity>0</DocSecurity>
  <Lines>1978</Lines>
  <Paragraphs>987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CRADI</dc:creator>
  <cp:keywords/>
  <dc:description/>
  <cp:lastModifiedBy>Yunana Kwaha</cp:lastModifiedBy>
  <cp:revision>2</cp:revision>
  <dcterms:created xsi:type="dcterms:W3CDTF">2025-09-02T14:24:00Z</dcterms:created>
  <dcterms:modified xsi:type="dcterms:W3CDTF">2025-09-02T14:24:00Z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d6d11ce82099c6eb119246893333dded31020ed4c6133f3f61047ae7529e64b9</vt:lpwstr>
  </property>
</Properties>
</file>