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02B8D" w14:textId="63D2C52D" w:rsidR="00ED7D41" w:rsidRDefault="00997661" w:rsidP="00ED7D41">
      <w:r>
        <w:rPr>
          <w:noProof/>
        </w:rPr>
        <w:drawing>
          <wp:anchor distT="0" distB="0" distL="114300" distR="114300" simplePos="0" relativeHeight="251660288" behindDoc="1" locked="0" layoutInCell="1" allowOverlap="1" wp14:anchorId="59EF897A" wp14:editId="44BF2238">
            <wp:simplePos x="0" y="0"/>
            <wp:positionH relativeFrom="column">
              <wp:posOffset>-956703</wp:posOffset>
            </wp:positionH>
            <wp:positionV relativeFrom="paragraph">
              <wp:posOffset>-772519</wp:posOffset>
            </wp:positionV>
            <wp:extent cx="8009945" cy="2398039"/>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9945" cy="2398039"/>
                    </a:xfrm>
                    <a:prstGeom prst="rect">
                      <a:avLst/>
                    </a:prstGeom>
                    <a:noFill/>
                  </pic:spPr>
                </pic:pic>
              </a:graphicData>
            </a:graphic>
            <wp14:sizeRelH relativeFrom="margin">
              <wp14:pctWidth>0</wp14:pctWidth>
            </wp14:sizeRelH>
            <wp14:sizeRelV relativeFrom="margin">
              <wp14:pctHeight>0</wp14:pctHeight>
            </wp14:sizeRelV>
          </wp:anchor>
        </w:drawing>
      </w:r>
      <w:r w:rsidR="00ED7D41" w:rsidRPr="00ED7D41">
        <w:t xml:space="preserve"> </w:t>
      </w:r>
    </w:p>
    <w:p w14:paraId="6E966092" w14:textId="044846DA" w:rsidR="00ED7D41" w:rsidRDefault="00ED7D41" w:rsidP="00ED7D41"/>
    <w:p w14:paraId="1A13FC23" w14:textId="77777777" w:rsidR="00ED7D41" w:rsidRDefault="00ED7D41" w:rsidP="00ED7D41"/>
    <w:p w14:paraId="5AAEFF0C" w14:textId="77777777" w:rsidR="00ED7D41" w:rsidRDefault="00ED7D41" w:rsidP="00ED7D41"/>
    <w:p w14:paraId="44B0C44F" w14:textId="77777777" w:rsidR="00ED7D41" w:rsidRDefault="00ED7D41" w:rsidP="00ED7D41"/>
    <w:p w14:paraId="60B1020C" w14:textId="77777777" w:rsidR="00997661" w:rsidRDefault="00997661" w:rsidP="00ED7D41"/>
    <w:p w14:paraId="35E95A65" w14:textId="77777777" w:rsidR="00997661" w:rsidRDefault="00997661" w:rsidP="00ED7D41"/>
    <w:p w14:paraId="5CBF5BA7" w14:textId="77777777" w:rsidR="00997661" w:rsidRDefault="00997661" w:rsidP="00ED7D41"/>
    <w:p w14:paraId="1883F261" w14:textId="77777777" w:rsidR="00997661" w:rsidRDefault="00997661" w:rsidP="00ED7D41"/>
    <w:p w14:paraId="373AC084" w14:textId="77777777" w:rsidR="00997661" w:rsidRDefault="00997661" w:rsidP="00ED7D41"/>
    <w:p w14:paraId="46E4276C" w14:textId="77777777" w:rsidR="00997661" w:rsidRDefault="00997661" w:rsidP="00ED7D41"/>
    <w:p w14:paraId="7901B600" w14:textId="77777777" w:rsidR="00997661" w:rsidRDefault="00997661" w:rsidP="00ED7D41"/>
    <w:p w14:paraId="566C0CB8" w14:textId="3D11780C" w:rsidR="00ED7D41" w:rsidRDefault="00ED7D41" w:rsidP="00ED7D41">
      <w:r w:rsidRPr="00ED7D41">
        <w:rPr>
          <w:noProof/>
        </w:rPr>
        <w:t xml:space="preserve">  </w:t>
      </w:r>
      <w:bookmarkStart w:id="0" w:name="_Toc164696892"/>
      <w:bookmarkStart w:id="1" w:name="_Toc164781071"/>
      <w:bookmarkStart w:id="2" w:name="_Toc164836286"/>
      <w:bookmarkStart w:id="3" w:name="_Toc164930467"/>
      <w:bookmarkStart w:id="4" w:name="_Toc166704778"/>
      <w:r w:rsidRPr="00ED7D41">
        <w:t xml:space="preserve"> </w:t>
      </w:r>
      <w:r w:rsidR="00997661">
        <w:rPr>
          <w:noProof/>
        </w:rPr>
        <w:drawing>
          <wp:inline distT="0" distB="0" distL="0" distR="0" wp14:anchorId="330D8AFF" wp14:editId="2966B57B">
            <wp:extent cx="1693628" cy="10560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728"/>
                    <a:stretch/>
                  </pic:blipFill>
                  <pic:spPr bwMode="auto">
                    <a:xfrm>
                      <a:off x="0" y="0"/>
                      <a:ext cx="1700261" cy="1060141"/>
                    </a:xfrm>
                    <a:prstGeom prst="rect">
                      <a:avLst/>
                    </a:prstGeom>
                    <a:noFill/>
                    <a:ln>
                      <a:noFill/>
                    </a:ln>
                    <a:extLst>
                      <a:ext uri="{53640926-AAD7-44D8-BBD7-CCE9431645EC}">
                        <a14:shadowObscured xmlns:a14="http://schemas.microsoft.com/office/drawing/2010/main"/>
                      </a:ext>
                    </a:extLst>
                  </pic:spPr>
                </pic:pic>
              </a:graphicData>
            </a:graphic>
          </wp:inline>
        </w:drawing>
      </w:r>
      <w:r w:rsidR="00997661">
        <w:rPr>
          <w:noProof/>
        </w:rPr>
        <w:drawing>
          <wp:inline distT="0" distB="0" distL="0" distR="0" wp14:anchorId="28863610" wp14:editId="6048557B">
            <wp:extent cx="1292222" cy="1100943"/>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857" cy="1104892"/>
                    </a:xfrm>
                    <a:prstGeom prst="rect">
                      <a:avLst/>
                    </a:prstGeom>
                    <a:noFill/>
                  </pic:spPr>
                </pic:pic>
              </a:graphicData>
            </a:graphic>
          </wp:inline>
        </w:drawing>
      </w:r>
      <w:r w:rsidR="00997661" w:rsidRPr="00116D0B">
        <w:rPr>
          <w:noProof/>
        </w:rPr>
        <w:drawing>
          <wp:inline distT="0" distB="0" distL="0" distR="0" wp14:anchorId="68DB1FE0" wp14:editId="5DB3AF1D">
            <wp:extent cx="1041085" cy="115164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62490_223288074715681_3665031468629329975_n-452x5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9506" cy="1172023"/>
                    </a:xfrm>
                    <a:prstGeom prst="rect">
                      <a:avLst/>
                    </a:prstGeom>
                  </pic:spPr>
                </pic:pic>
              </a:graphicData>
            </a:graphic>
          </wp:inline>
        </w:drawing>
      </w:r>
      <w:r w:rsidR="00997661">
        <w:rPr>
          <w:noProof/>
        </w:rPr>
        <w:drawing>
          <wp:inline distT="0" distB="0" distL="0" distR="0" wp14:anchorId="0A92BB2C" wp14:editId="0D5352F0">
            <wp:extent cx="1017243" cy="1069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3789"/>
                    <a:stretch/>
                  </pic:blipFill>
                  <pic:spPr bwMode="auto">
                    <a:xfrm>
                      <a:off x="0" y="0"/>
                      <a:ext cx="1018292" cy="1070248"/>
                    </a:xfrm>
                    <a:prstGeom prst="rect">
                      <a:avLst/>
                    </a:prstGeom>
                    <a:noFill/>
                    <a:ln>
                      <a:noFill/>
                    </a:ln>
                    <a:extLst>
                      <a:ext uri="{53640926-AAD7-44D8-BBD7-CCE9431645EC}">
                        <a14:shadowObscured xmlns:a14="http://schemas.microsoft.com/office/drawing/2010/main"/>
                      </a:ext>
                    </a:extLst>
                  </pic:spPr>
                </pic:pic>
              </a:graphicData>
            </a:graphic>
          </wp:inline>
        </w:drawing>
      </w:r>
      <w:r w:rsidR="00997661">
        <w:rPr>
          <w:noProof/>
        </w:rPr>
        <w:drawing>
          <wp:inline distT="0" distB="0" distL="0" distR="0" wp14:anchorId="0C155729" wp14:editId="31065B98">
            <wp:extent cx="1017767" cy="11023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767" cy="1102397"/>
                    </a:xfrm>
                    <a:prstGeom prst="rect">
                      <a:avLst/>
                    </a:prstGeom>
                    <a:noFill/>
                  </pic:spPr>
                </pic:pic>
              </a:graphicData>
            </a:graphic>
          </wp:inline>
        </w:drawing>
      </w:r>
    </w:p>
    <w:bookmarkEnd w:id="0"/>
    <w:bookmarkEnd w:id="1"/>
    <w:bookmarkEnd w:id="2"/>
    <w:bookmarkEnd w:id="3"/>
    <w:bookmarkEnd w:id="4"/>
    <w:p w14:paraId="701DFC56" w14:textId="702F913B" w:rsidR="00F0422F" w:rsidRPr="00116D0B" w:rsidRDefault="00997661" w:rsidP="00ED7D41">
      <w:r>
        <w:rPr>
          <w:noProof/>
        </w:rPr>
        <w:drawing>
          <wp:inline distT="0" distB="0" distL="0" distR="0" wp14:anchorId="59883550" wp14:editId="7BCBBB9A">
            <wp:extent cx="1763021" cy="487104"/>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23" t="30773" r="12699" b="30072"/>
                    <a:stretch/>
                  </pic:blipFill>
                  <pic:spPr bwMode="auto">
                    <a:xfrm>
                      <a:off x="0" y="0"/>
                      <a:ext cx="1793532" cy="495534"/>
                    </a:xfrm>
                    <a:prstGeom prst="rect">
                      <a:avLst/>
                    </a:prstGeom>
                    <a:noFill/>
                    <a:ln>
                      <a:noFill/>
                    </a:ln>
                    <a:extLst>
                      <a:ext uri="{53640926-AAD7-44D8-BBD7-CCE9431645EC}">
                        <a14:shadowObscured xmlns:a14="http://schemas.microsoft.com/office/drawing/2010/main"/>
                      </a:ext>
                    </a:extLst>
                  </pic:spPr>
                </pic:pic>
              </a:graphicData>
            </a:graphic>
          </wp:inline>
        </w:drawing>
      </w:r>
    </w:p>
    <w:p w14:paraId="49666867" w14:textId="3BC76200" w:rsidR="00F0422F" w:rsidRPr="00ED7D41" w:rsidRDefault="00F0422F" w:rsidP="00ED7D41"/>
    <w:p w14:paraId="54A8A8A8" w14:textId="77777777" w:rsidR="0014144F" w:rsidRPr="00116D0B" w:rsidRDefault="0014144F" w:rsidP="00F94BFF">
      <w:pPr>
        <w:jc w:val="center"/>
        <w:rPr>
          <w:rFonts w:ascii="Garamond" w:hAnsi="Garamond"/>
          <w:b/>
          <w:color w:val="92D050"/>
          <w:sz w:val="24"/>
          <w:szCs w:val="24"/>
        </w:rPr>
      </w:pPr>
    </w:p>
    <w:p w14:paraId="655B1157" w14:textId="77777777" w:rsidR="0014144F" w:rsidRPr="00116D0B" w:rsidRDefault="0014144F" w:rsidP="00F94BFF">
      <w:pPr>
        <w:jc w:val="center"/>
        <w:rPr>
          <w:rFonts w:ascii="Garamond" w:hAnsi="Garamond"/>
          <w:b/>
          <w:color w:val="92D050"/>
          <w:sz w:val="24"/>
          <w:szCs w:val="24"/>
        </w:rPr>
      </w:pPr>
    </w:p>
    <w:p w14:paraId="72FC9C9E" w14:textId="77777777" w:rsidR="00997661" w:rsidRDefault="00705660" w:rsidP="00997661">
      <w:pPr>
        <w:spacing w:line="360" w:lineRule="auto"/>
        <w:jc w:val="center"/>
        <w:rPr>
          <w:rFonts w:ascii="Garamond" w:hAnsi="Garamond"/>
          <w:b/>
          <w:color w:val="6CA62C"/>
          <w:sz w:val="40"/>
          <w:szCs w:val="40"/>
        </w:rPr>
      </w:pPr>
      <w:r w:rsidRPr="00997661">
        <w:rPr>
          <w:rFonts w:ascii="Garamond" w:hAnsi="Garamond"/>
          <w:b/>
          <w:color w:val="6CA62C"/>
          <w:sz w:val="40"/>
          <w:szCs w:val="40"/>
        </w:rPr>
        <w:t xml:space="preserve">ENDLINE EVALUATION </w:t>
      </w:r>
      <w:r w:rsidR="00757A6C" w:rsidRPr="00997661">
        <w:rPr>
          <w:rFonts w:ascii="Garamond" w:hAnsi="Garamond"/>
          <w:b/>
          <w:color w:val="6CA62C"/>
          <w:sz w:val="40"/>
          <w:szCs w:val="40"/>
        </w:rPr>
        <w:t xml:space="preserve">OF </w:t>
      </w:r>
    </w:p>
    <w:p w14:paraId="71B52E6A" w14:textId="51E901F3" w:rsidR="00516F86" w:rsidRPr="00997661" w:rsidRDefault="00757A6C" w:rsidP="00997661">
      <w:pPr>
        <w:spacing w:line="360" w:lineRule="auto"/>
        <w:jc w:val="center"/>
        <w:rPr>
          <w:rFonts w:ascii="Garamond" w:hAnsi="Garamond"/>
          <w:b/>
          <w:color w:val="6CA62C"/>
          <w:sz w:val="40"/>
          <w:szCs w:val="40"/>
        </w:rPr>
      </w:pPr>
      <w:r w:rsidRPr="00997661">
        <w:rPr>
          <w:rFonts w:ascii="Garamond" w:hAnsi="Garamond"/>
          <w:b/>
          <w:color w:val="6CA62C"/>
          <w:sz w:val="40"/>
          <w:szCs w:val="40"/>
        </w:rPr>
        <w:t>‘IMPROVING</w:t>
      </w:r>
      <w:r w:rsidR="00705660" w:rsidRPr="00997661">
        <w:rPr>
          <w:rFonts w:ascii="Garamond" w:hAnsi="Garamond"/>
          <w:b/>
          <w:color w:val="6CA62C"/>
          <w:sz w:val="40"/>
          <w:szCs w:val="40"/>
        </w:rPr>
        <w:t xml:space="preserve"> SOCIAL COHESION AND PARTICIPATORY PLANNING THROUGH COMMUNITY DEVELOPMENT PLANNING (CDP</w:t>
      </w:r>
      <w:r w:rsidR="00116D0B" w:rsidRPr="00997661">
        <w:rPr>
          <w:rFonts w:ascii="Garamond" w:hAnsi="Garamond"/>
          <w:b/>
          <w:color w:val="6CA62C"/>
          <w:sz w:val="40"/>
          <w:szCs w:val="40"/>
        </w:rPr>
        <w:t>)</w:t>
      </w:r>
      <w:r w:rsidR="002629FE" w:rsidRPr="00997661">
        <w:rPr>
          <w:rFonts w:ascii="Garamond" w:hAnsi="Garamond"/>
          <w:b/>
          <w:color w:val="6CA62C"/>
          <w:sz w:val="40"/>
          <w:szCs w:val="40"/>
        </w:rPr>
        <w:t>’</w:t>
      </w:r>
      <w:r w:rsidR="00116D0B" w:rsidRPr="00997661">
        <w:rPr>
          <w:rFonts w:ascii="Garamond" w:hAnsi="Garamond"/>
          <w:b/>
          <w:color w:val="6CA62C"/>
          <w:sz w:val="40"/>
          <w:szCs w:val="40"/>
        </w:rPr>
        <w:t xml:space="preserve"> PROJECT</w:t>
      </w:r>
      <w:r w:rsidR="00705660" w:rsidRPr="00997661">
        <w:rPr>
          <w:rFonts w:ascii="Garamond" w:hAnsi="Garamond"/>
          <w:b/>
          <w:color w:val="6CA62C"/>
          <w:sz w:val="40"/>
          <w:szCs w:val="40"/>
        </w:rPr>
        <w:t xml:space="preserve"> IN ADAMAWA STATE.</w:t>
      </w:r>
    </w:p>
    <w:p w14:paraId="4EC2835B" w14:textId="77777777" w:rsidR="00516F86" w:rsidRPr="00E77848" w:rsidRDefault="00516F86">
      <w:pPr>
        <w:pStyle w:val="BodyText"/>
        <w:rPr>
          <w:rFonts w:ascii="Garamond" w:hAnsi="Garamond"/>
          <w:b/>
          <w:color w:val="6CA62C"/>
          <w:sz w:val="36"/>
        </w:rPr>
      </w:pPr>
    </w:p>
    <w:p w14:paraId="5954711E" w14:textId="42565107" w:rsidR="00705660" w:rsidRPr="00997661" w:rsidRDefault="005314D7" w:rsidP="00757A6C">
      <w:pPr>
        <w:pStyle w:val="BodyText"/>
        <w:jc w:val="center"/>
        <w:rPr>
          <w:rFonts w:ascii="Garamond" w:hAnsi="Garamond"/>
          <w:b/>
          <w:sz w:val="36"/>
          <w:szCs w:val="36"/>
        </w:rPr>
      </w:pPr>
      <w:r w:rsidRPr="00997661">
        <w:rPr>
          <w:rFonts w:ascii="Garamond" w:hAnsi="Garamond"/>
          <w:b/>
          <w:sz w:val="36"/>
          <w:szCs w:val="36"/>
        </w:rPr>
        <w:t>FINAL REPORT</w:t>
      </w:r>
    </w:p>
    <w:p w14:paraId="1784812A" w14:textId="77777777" w:rsidR="00705660" w:rsidRDefault="00705660">
      <w:pPr>
        <w:pStyle w:val="BodyText"/>
        <w:rPr>
          <w:rFonts w:ascii="Garamond" w:hAnsi="Garamond"/>
          <w:b/>
          <w:color w:val="92D050"/>
        </w:rPr>
      </w:pPr>
    </w:p>
    <w:p w14:paraId="53633F63" w14:textId="77777777" w:rsidR="005D0AF1" w:rsidRDefault="005D0AF1">
      <w:pPr>
        <w:pStyle w:val="BodyText"/>
        <w:rPr>
          <w:rFonts w:ascii="Garamond" w:hAnsi="Garamond"/>
          <w:b/>
          <w:color w:val="92D050"/>
        </w:rPr>
      </w:pPr>
    </w:p>
    <w:p w14:paraId="202F2AD0" w14:textId="77777777" w:rsidR="005D0AF1" w:rsidRDefault="005D0AF1">
      <w:pPr>
        <w:pStyle w:val="BodyText"/>
        <w:rPr>
          <w:rFonts w:ascii="Garamond" w:hAnsi="Garamond"/>
          <w:b/>
          <w:color w:val="92D050"/>
        </w:rPr>
      </w:pPr>
    </w:p>
    <w:p w14:paraId="6BA37CF9" w14:textId="77777777" w:rsidR="005D0AF1" w:rsidRDefault="005D0AF1">
      <w:pPr>
        <w:pStyle w:val="BodyText"/>
        <w:rPr>
          <w:rFonts w:ascii="Garamond" w:hAnsi="Garamond"/>
          <w:b/>
          <w:color w:val="92D050"/>
        </w:rPr>
      </w:pPr>
    </w:p>
    <w:p w14:paraId="4E0E42EE" w14:textId="77777777" w:rsidR="005D0AF1" w:rsidRDefault="005D0AF1">
      <w:pPr>
        <w:pStyle w:val="BodyText"/>
        <w:rPr>
          <w:rFonts w:ascii="Garamond" w:hAnsi="Garamond"/>
          <w:b/>
          <w:color w:val="92D050"/>
        </w:rPr>
      </w:pPr>
    </w:p>
    <w:p w14:paraId="3C8FA968" w14:textId="77777777" w:rsidR="005D0AF1" w:rsidRPr="00116D0B" w:rsidRDefault="005D0AF1">
      <w:pPr>
        <w:pStyle w:val="BodyText"/>
        <w:rPr>
          <w:rFonts w:ascii="Garamond" w:hAnsi="Garamond"/>
          <w:b/>
          <w:color w:val="92D050"/>
        </w:rPr>
      </w:pPr>
    </w:p>
    <w:p w14:paraId="515BE5FF" w14:textId="77777777" w:rsidR="00705660" w:rsidRPr="00116D0B" w:rsidRDefault="00705660">
      <w:pPr>
        <w:pStyle w:val="BodyText"/>
        <w:rPr>
          <w:rFonts w:ascii="Garamond" w:hAnsi="Garamond"/>
          <w:b/>
          <w:color w:val="92D050"/>
        </w:rPr>
      </w:pPr>
    </w:p>
    <w:p w14:paraId="4D935B40" w14:textId="77777777" w:rsidR="00705660" w:rsidRDefault="00705660">
      <w:pPr>
        <w:pStyle w:val="BodyText"/>
        <w:rPr>
          <w:rFonts w:ascii="Garamond" w:hAnsi="Garamond"/>
          <w:b/>
          <w:color w:val="92D050"/>
        </w:rPr>
      </w:pPr>
    </w:p>
    <w:p w14:paraId="1029D8A7" w14:textId="77777777" w:rsidR="005D0AF1" w:rsidRPr="00116D0B" w:rsidRDefault="005D0AF1">
      <w:pPr>
        <w:pStyle w:val="BodyText"/>
        <w:rPr>
          <w:rFonts w:ascii="Garamond" w:hAnsi="Garamond"/>
          <w:b/>
          <w:color w:val="92D050"/>
        </w:rPr>
      </w:pPr>
    </w:p>
    <w:p w14:paraId="29208A81" w14:textId="47AC74D0" w:rsidR="00F94BFF" w:rsidRPr="00997661" w:rsidRDefault="0050486D" w:rsidP="00106849">
      <w:pPr>
        <w:pStyle w:val="BodyText"/>
        <w:jc w:val="center"/>
        <w:rPr>
          <w:rFonts w:ascii="Garamond" w:hAnsi="Garamond"/>
          <w:b/>
          <w:color w:val="808080" w:themeColor="background1" w:themeShade="80"/>
          <w:sz w:val="36"/>
        </w:rPr>
      </w:pPr>
      <w:r w:rsidRPr="00997661">
        <w:rPr>
          <w:rFonts w:ascii="Garamond" w:hAnsi="Garamond"/>
          <w:b/>
          <w:color w:val="808080" w:themeColor="background1" w:themeShade="80"/>
          <w:sz w:val="36"/>
        </w:rPr>
        <w:t>SEVEN STAR CONSULTANTS LTD</w:t>
      </w:r>
    </w:p>
    <w:p w14:paraId="606E520D" w14:textId="77777777" w:rsidR="00516F86" w:rsidRPr="00116D0B" w:rsidRDefault="00516F86">
      <w:pPr>
        <w:jc w:val="center"/>
        <w:rPr>
          <w:rFonts w:ascii="Garamond" w:hAnsi="Garamond"/>
          <w:sz w:val="24"/>
          <w:szCs w:val="24"/>
        </w:rPr>
        <w:sectPr w:rsidR="00516F86" w:rsidRPr="00116D0B" w:rsidSect="008A4264">
          <w:footerReference w:type="default" r:id="rId15"/>
          <w:type w:val="continuous"/>
          <w:pgSz w:w="12240" w:h="15840"/>
          <w:pgMar w:top="1480" w:right="1220" w:bottom="280" w:left="1220" w:header="720" w:footer="720" w:gutter="0"/>
          <w:pgNumType w:start="0"/>
          <w:cols w:space="720"/>
          <w:titlePg/>
          <w:docGrid w:linePitch="299"/>
        </w:sectPr>
      </w:pPr>
    </w:p>
    <w:sdt>
      <w:sdtPr>
        <w:rPr>
          <w:rFonts w:ascii="Garamond" w:hAnsi="Garamond"/>
          <w:sz w:val="22"/>
          <w:szCs w:val="22"/>
        </w:rPr>
        <w:id w:val="541488739"/>
        <w:docPartObj>
          <w:docPartGallery w:val="Table of Contents"/>
          <w:docPartUnique/>
        </w:docPartObj>
      </w:sdtPr>
      <w:sdtEndPr>
        <w:rPr>
          <w:b/>
          <w:bCs/>
          <w:noProof/>
        </w:rPr>
      </w:sdtEndPr>
      <w:sdtContent>
        <w:p w14:paraId="76F47C24" w14:textId="77777777" w:rsidR="00FC4420" w:rsidRPr="00FC4420" w:rsidRDefault="008937D0" w:rsidP="00FC4420">
          <w:pPr>
            <w:pStyle w:val="BodyText"/>
            <w:spacing w:line="360" w:lineRule="auto"/>
            <w:rPr>
              <w:rFonts w:ascii="Garamond" w:hAnsi="Garamond"/>
              <w:noProof/>
            </w:rPr>
          </w:pPr>
          <w:r w:rsidRPr="00E77848">
            <w:rPr>
              <w:rFonts w:ascii="Garamond" w:hAnsi="Garamond"/>
              <w:b/>
              <w:color w:val="92D050"/>
            </w:rPr>
            <w:t xml:space="preserve">TABLE </w:t>
          </w:r>
          <w:r w:rsidR="00E23F42" w:rsidRPr="00E77848">
            <w:rPr>
              <w:rFonts w:ascii="Garamond" w:hAnsi="Garamond"/>
              <w:b/>
              <w:color w:val="92D050"/>
            </w:rPr>
            <w:t>OF CONTENT</w:t>
          </w:r>
          <w:r w:rsidR="00F94BFF" w:rsidRPr="00E77848">
            <w:rPr>
              <w:rFonts w:ascii="Garamond" w:hAnsi="Garamond"/>
            </w:rPr>
            <w:fldChar w:fldCharType="begin"/>
          </w:r>
          <w:r w:rsidR="00F94BFF" w:rsidRPr="00E77848">
            <w:rPr>
              <w:rFonts w:ascii="Garamond" w:hAnsi="Garamond"/>
            </w:rPr>
            <w:instrText xml:space="preserve"> TOC \o "1-3" \h \z \u </w:instrText>
          </w:r>
          <w:r w:rsidR="00F94BFF" w:rsidRPr="00E77848">
            <w:rPr>
              <w:rFonts w:ascii="Garamond" w:hAnsi="Garamond"/>
            </w:rPr>
            <w:fldChar w:fldCharType="separate"/>
          </w:r>
        </w:p>
        <w:p w14:paraId="1C4B5A0E" w14:textId="42C04C99"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399" w:history="1">
            <w:r w:rsidRPr="00FC4420">
              <w:rPr>
                <w:rStyle w:val="Hyperlink"/>
                <w:rFonts w:ascii="Garamond" w:hAnsi="Garamond"/>
                <w:noProof/>
              </w:rPr>
              <w:t>LIST OF TABLES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_Toc166775399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w:t>
            </w:r>
            <w:r w:rsidRPr="00FC4420">
              <w:rPr>
                <w:rFonts w:ascii="Garamond" w:hAnsi="Garamond"/>
                <w:noProof/>
                <w:webHidden/>
              </w:rPr>
              <w:fldChar w:fldCharType="end"/>
            </w:r>
          </w:hyperlink>
        </w:p>
        <w:p w14:paraId="11CA90FF" w14:textId="5B8D1A1A"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0" w:history="1">
            <w:r w:rsidRPr="00FC4420">
              <w:rPr>
                <w:rStyle w:val="Hyperlink"/>
                <w:rFonts w:ascii="Garamond" w:hAnsi="Garamond"/>
                <w:noProof/>
              </w:rPr>
              <w:t>LIST OF FIGURES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_Toc166775400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3</w:t>
            </w:r>
            <w:r w:rsidRPr="00FC4420">
              <w:rPr>
                <w:rFonts w:ascii="Garamond" w:hAnsi="Garamond"/>
                <w:noProof/>
                <w:webHidden/>
              </w:rPr>
              <w:fldChar w:fldCharType="end"/>
            </w:r>
          </w:hyperlink>
        </w:p>
        <w:p w14:paraId="23294C2C" w14:textId="65313943"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1" w:history="1">
            <w:r w:rsidRPr="00FC4420">
              <w:rPr>
                <w:rStyle w:val="Hyperlink"/>
                <w:rFonts w:ascii="Garamond" w:hAnsi="Garamond"/>
                <w:noProof/>
              </w:rPr>
              <w:t>GLOSSARY ACRONYM AND ABBREVIATIONS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_Toc166775401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4</w:t>
            </w:r>
            <w:r w:rsidRPr="00FC4420">
              <w:rPr>
                <w:rFonts w:ascii="Garamond" w:hAnsi="Garamond"/>
                <w:noProof/>
                <w:webHidden/>
              </w:rPr>
              <w:fldChar w:fldCharType="end"/>
            </w:r>
          </w:hyperlink>
        </w:p>
        <w:p w14:paraId="025BFD0B" w14:textId="2B13DE95"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2" w:history="1">
            <w:r w:rsidRPr="00FC4420">
              <w:rPr>
                <w:rStyle w:val="Hyperlink"/>
                <w:rFonts w:ascii="Garamond" w:hAnsi="Garamond"/>
                <w:noProof/>
              </w:rPr>
              <w:t>EXECUTIVE SUMMARY</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_Toc166775402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5</w:t>
            </w:r>
            <w:r w:rsidRPr="00FC4420">
              <w:rPr>
                <w:rFonts w:ascii="Garamond" w:hAnsi="Garamond"/>
                <w:noProof/>
                <w:webHidden/>
              </w:rPr>
              <w:fldChar w:fldCharType="end"/>
            </w:r>
          </w:hyperlink>
        </w:p>
        <w:p w14:paraId="1E07464C" w14:textId="4B6F2D92"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03" w:history="1">
            <w:r w:rsidRPr="00FC4420">
              <w:rPr>
                <w:rStyle w:val="Hyperlink"/>
                <w:rFonts w:ascii="Garamond" w:eastAsia="Calibri" w:hAnsi="Garamond"/>
                <w:noProof/>
              </w:rPr>
              <w:t>Recommendations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_Toc166775403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12</w:t>
            </w:r>
            <w:r w:rsidRPr="00FC4420">
              <w:rPr>
                <w:rFonts w:ascii="Garamond" w:hAnsi="Garamond"/>
                <w:noProof/>
                <w:webHidden/>
              </w:rPr>
              <w:fldChar w:fldCharType="end"/>
            </w:r>
          </w:hyperlink>
        </w:p>
        <w:p w14:paraId="1820870A" w14:textId="030D6C55"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4" w:history="1">
            <w:r w:rsidRPr="00FC4420">
              <w:rPr>
                <w:rStyle w:val="Hyperlink"/>
                <w:rFonts w:ascii="Garamond" w:hAnsi="Garamond"/>
                <w:noProof/>
              </w:rPr>
              <w:t>1.0</w:t>
            </w:r>
            <w:r w:rsidRPr="00FC4420">
              <w:rPr>
                <w:rFonts w:ascii="Garamond" w:eastAsiaTheme="minorEastAsia" w:hAnsi="Garamond" w:cstheme="minorBidi"/>
                <w:noProof/>
              </w:rPr>
              <w:tab/>
            </w:r>
            <w:r w:rsidRPr="00FC4420">
              <w:rPr>
                <w:rStyle w:val="Hyperlink"/>
                <w:rFonts w:ascii="Garamond" w:hAnsi="Garamond"/>
                <w:noProof/>
              </w:rPr>
              <w:t>INTRODUCTION</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_Toc166775404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14</w:t>
            </w:r>
            <w:r w:rsidRPr="00FC4420">
              <w:rPr>
                <w:rFonts w:ascii="Garamond" w:hAnsi="Garamond"/>
                <w:noProof/>
                <w:webHidden/>
              </w:rPr>
              <w:fldChar w:fldCharType="end"/>
            </w:r>
          </w:hyperlink>
        </w:p>
        <w:p w14:paraId="32E9424E" w14:textId="1C57E691"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05" w:history="1">
            <w:r w:rsidRPr="00FC4420">
              <w:rPr>
                <w:rStyle w:val="Hyperlink"/>
                <w:rFonts w:ascii="Garamond" w:hAnsi="Garamond"/>
                <w:noProof/>
              </w:rPr>
              <w:t>1.1</w:t>
            </w:r>
            <w:r w:rsidRPr="00FC4420">
              <w:rPr>
                <w:rFonts w:ascii="Garamond" w:eastAsiaTheme="minorEastAsia" w:hAnsi="Garamond" w:cstheme="minorBidi"/>
                <w:noProof/>
              </w:rPr>
              <w:tab/>
            </w:r>
            <w:r w:rsidRPr="00FC4420">
              <w:rPr>
                <w:rStyle w:val="Hyperlink"/>
                <w:rFonts w:ascii="Garamond" w:hAnsi="Garamond"/>
                <w:noProof/>
              </w:rPr>
              <w:t>Citizen Participation in Adamawa State</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_Toc166775405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15</w:t>
            </w:r>
            <w:r w:rsidRPr="00FC4420">
              <w:rPr>
                <w:rFonts w:ascii="Garamond" w:hAnsi="Garamond"/>
                <w:noProof/>
                <w:webHidden/>
              </w:rPr>
              <w:fldChar w:fldCharType="end"/>
            </w:r>
          </w:hyperlink>
        </w:p>
        <w:p w14:paraId="39A1829A" w14:textId="56188F0B"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06" w:history="1">
            <w:r w:rsidRPr="00FC4420">
              <w:rPr>
                <w:rStyle w:val="Hyperlink"/>
                <w:rFonts w:ascii="Garamond" w:hAnsi="Garamond"/>
                <w:noProof/>
              </w:rPr>
              <w:t>1.2</w:t>
            </w:r>
            <w:r w:rsidRPr="00FC4420">
              <w:rPr>
                <w:rFonts w:ascii="Garamond" w:eastAsiaTheme="minorEastAsia" w:hAnsi="Garamond" w:cstheme="minorBidi"/>
                <w:noProof/>
              </w:rPr>
              <w:tab/>
            </w:r>
            <w:r w:rsidRPr="00FC4420">
              <w:rPr>
                <w:rStyle w:val="Hyperlink"/>
                <w:rFonts w:ascii="Garamond" w:hAnsi="Garamond"/>
                <w:noProof/>
              </w:rPr>
              <w:t>Michika Local Government</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_Toc166775406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17</w:t>
            </w:r>
            <w:r w:rsidRPr="00FC4420">
              <w:rPr>
                <w:rFonts w:ascii="Garamond" w:hAnsi="Garamond"/>
                <w:noProof/>
                <w:webHidden/>
              </w:rPr>
              <w:fldChar w:fldCharType="end"/>
            </w:r>
          </w:hyperlink>
        </w:p>
        <w:p w14:paraId="041C26BD" w14:textId="00CD5CF0"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7" w:history="1">
            <w:r w:rsidRPr="00FC4420">
              <w:rPr>
                <w:rStyle w:val="Hyperlink"/>
                <w:rFonts w:ascii="Garamond" w:hAnsi="Garamond"/>
                <w:noProof/>
              </w:rPr>
              <w:t>2.0</w:t>
            </w:r>
            <w:r w:rsidRPr="00FC4420">
              <w:rPr>
                <w:rFonts w:ascii="Garamond" w:eastAsiaTheme="minorEastAsia" w:hAnsi="Garamond" w:cstheme="minorBidi"/>
                <w:noProof/>
              </w:rPr>
              <w:tab/>
            </w:r>
            <w:r w:rsidRPr="00FC4420">
              <w:rPr>
                <w:rStyle w:val="Hyperlink"/>
                <w:rFonts w:ascii="Garamond" w:hAnsi="Garamond"/>
                <w:noProof/>
              </w:rPr>
              <w:t>PROJECT GOAL</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_Toc166775407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4706DD80" w14:textId="16871174"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8" w:history="1">
            <w:r w:rsidRPr="00FC4420">
              <w:rPr>
                <w:rStyle w:val="Hyperlink"/>
                <w:rFonts w:ascii="Garamond" w:hAnsi="Garamond"/>
                <w:noProof/>
              </w:rPr>
              <w:t>2.1</w:t>
            </w:r>
            <w:r w:rsidRPr="00FC4420">
              <w:rPr>
                <w:rFonts w:ascii="Garamond" w:eastAsiaTheme="minorEastAsia" w:hAnsi="Garamond" w:cstheme="minorBidi"/>
                <w:noProof/>
              </w:rPr>
              <w:tab/>
            </w:r>
            <w:r w:rsidRPr="00FC4420">
              <w:rPr>
                <w:rStyle w:val="Hyperlink"/>
                <w:rFonts w:ascii="Garamond" w:hAnsi="Garamond"/>
                <w:noProof/>
              </w:rPr>
              <w:t>Project</w:t>
            </w:r>
            <w:r w:rsidRPr="00FC4420">
              <w:rPr>
                <w:rStyle w:val="Hyperlink"/>
                <w:rFonts w:ascii="Garamond" w:hAnsi="Garamond"/>
                <w:noProof/>
                <w:spacing w:val="-8"/>
              </w:rPr>
              <w:t xml:space="preserve"> </w:t>
            </w:r>
            <w:r w:rsidRPr="00FC4420">
              <w:rPr>
                <w:rStyle w:val="Hyperlink"/>
                <w:rFonts w:ascii="Garamond" w:hAnsi="Garamond"/>
                <w:noProof/>
              </w:rPr>
              <w:t>Objectives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_Toc166775408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6D6C6438" w14:textId="027BDC91"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09" w:history="1">
            <w:r w:rsidRPr="00FC4420">
              <w:rPr>
                <w:rStyle w:val="Hyperlink"/>
                <w:rFonts w:ascii="Garamond" w:hAnsi="Garamond"/>
                <w:noProof/>
              </w:rPr>
              <w:t>2.2</w:t>
            </w:r>
            <w:r w:rsidRPr="00FC4420">
              <w:rPr>
                <w:rFonts w:ascii="Garamond" w:eastAsiaTheme="minorEastAsia" w:hAnsi="Garamond" w:cstheme="minorBidi"/>
                <w:noProof/>
              </w:rPr>
              <w:tab/>
            </w:r>
            <w:r w:rsidRPr="00FC4420">
              <w:rPr>
                <w:rStyle w:val="Hyperlink"/>
                <w:rFonts w:ascii="Garamond" w:hAnsi="Garamond"/>
                <w:noProof/>
              </w:rPr>
              <w:t>Purpose</w:t>
            </w:r>
            <w:r w:rsidRPr="00FC4420">
              <w:rPr>
                <w:rStyle w:val="Hyperlink"/>
                <w:rFonts w:ascii="Garamond" w:hAnsi="Garamond"/>
                <w:noProof/>
                <w:spacing w:val="-3"/>
              </w:rPr>
              <w:t xml:space="preserve"> </w:t>
            </w:r>
            <w:r w:rsidRPr="00FC4420">
              <w:rPr>
                <w:rStyle w:val="Hyperlink"/>
                <w:rFonts w:ascii="Garamond" w:hAnsi="Garamond"/>
                <w:noProof/>
              </w:rPr>
              <w:t>of</w:t>
            </w:r>
            <w:r w:rsidRPr="00FC4420">
              <w:rPr>
                <w:rStyle w:val="Hyperlink"/>
                <w:rFonts w:ascii="Garamond" w:hAnsi="Garamond"/>
                <w:noProof/>
                <w:spacing w:val="-1"/>
              </w:rPr>
              <w:t xml:space="preserve"> </w:t>
            </w:r>
            <w:r w:rsidRPr="00FC4420">
              <w:rPr>
                <w:rStyle w:val="Hyperlink"/>
                <w:rFonts w:ascii="Garamond" w:hAnsi="Garamond"/>
                <w:noProof/>
              </w:rPr>
              <w:t>the</w:t>
            </w:r>
            <w:r w:rsidRPr="00FC4420">
              <w:rPr>
                <w:rStyle w:val="Hyperlink"/>
                <w:rFonts w:ascii="Garamond" w:hAnsi="Garamond"/>
                <w:noProof/>
                <w:spacing w:val="-3"/>
              </w:rPr>
              <w:t xml:space="preserve"> </w:t>
            </w:r>
            <w:r w:rsidRPr="00FC4420">
              <w:rPr>
                <w:rStyle w:val="Hyperlink"/>
                <w:rFonts w:ascii="Garamond" w:hAnsi="Garamond"/>
                <w:noProof/>
              </w:rPr>
              <w:t>Evaluation</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_Toc166775409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724DA7AF" w14:textId="1AF08337"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10" w:history="1">
            <w:r w:rsidRPr="00FC4420">
              <w:rPr>
                <w:rStyle w:val="Hyperlink"/>
                <w:rFonts w:ascii="Garamond" w:hAnsi="Garamond"/>
                <w:noProof/>
              </w:rPr>
              <w:t>2.3</w:t>
            </w:r>
            <w:r w:rsidRPr="00FC4420">
              <w:rPr>
                <w:rFonts w:ascii="Garamond" w:eastAsiaTheme="minorEastAsia" w:hAnsi="Garamond" w:cstheme="minorBidi"/>
                <w:noProof/>
              </w:rPr>
              <w:tab/>
            </w:r>
            <w:r w:rsidRPr="00FC4420">
              <w:rPr>
                <w:rStyle w:val="Hyperlink"/>
                <w:rFonts w:ascii="Garamond" w:hAnsi="Garamond"/>
                <w:noProof/>
              </w:rPr>
              <w:t>Evaluation</w:t>
            </w:r>
            <w:r w:rsidRPr="00FC4420">
              <w:rPr>
                <w:rStyle w:val="Hyperlink"/>
                <w:rFonts w:ascii="Garamond" w:hAnsi="Garamond"/>
                <w:noProof/>
                <w:spacing w:val="-8"/>
              </w:rPr>
              <w:t xml:space="preserve"> </w:t>
            </w:r>
            <w:r w:rsidRPr="00FC4420">
              <w:rPr>
                <w:rStyle w:val="Hyperlink"/>
                <w:rFonts w:ascii="Garamond" w:hAnsi="Garamond"/>
                <w:noProof/>
              </w:rPr>
              <w:t>Objectives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_Toc166775410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2826E1C8" w14:textId="0624131B"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11" w:history="1">
            <w:r w:rsidRPr="00FC4420">
              <w:rPr>
                <w:rStyle w:val="Hyperlink"/>
                <w:rFonts w:ascii="Garamond" w:hAnsi="Garamond"/>
                <w:noProof/>
              </w:rPr>
              <w:t>2.4</w:t>
            </w:r>
            <w:r w:rsidRPr="00FC4420">
              <w:rPr>
                <w:rFonts w:ascii="Garamond" w:eastAsiaTheme="minorEastAsia" w:hAnsi="Garamond" w:cstheme="minorBidi"/>
                <w:noProof/>
              </w:rPr>
              <w:tab/>
            </w:r>
            <w:r w:rsidRPr="00FC4420">
              <w:rPr>
                <w:rStyle w:val="Hyperlink"/>
                <w:rFonts w:ascii="Garamond" w:hAnsi="Garamond"/>
                <w:noProof/>
              </w:rPr>
              <w:t>Evaluation</w:t>
            </w:r>
            <w:r w:rsidRPr="00FC4420">
              <w:rPr>
                <w:rStyle w:val="Hyperlink"/>
                <w:rFonts w:ascii="Garamond" w:hAnsi="Garamond"/>
                <w:noProof/>
                <w:spacing w:val="-2"/>
              </w:rPr>
              <w:t xml:space="preserve"> </w:t>
            </w:r>
            <w:r w:rsidRPr="00FC4420">
              <w:rPr>
                <w:rStyle w:val="Hyperlink"/>
                <w:rFonts w:ascii="Garamond" w:hAnsi="Garamond"/>
                <w:noProof/>
              </w:rPr>
              <w:t>Scope</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_Toc166775411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76B07D36" w14:textId="0D3A57B2"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12" w:history="1">
            <w:r w:rsidRPr="00FC4420">
              <w:rPr>
                <w:rStyle w:val="Hyperlink"/>
                <w:rFonts w:ascii="Garamond" w:hAnsi="Garamond"/>
                <w:noProof/>
              </w:rPr>
              <w:t>2.5</w:t>
            </w:r>
            <w:r w:rsidRPr="00FC4420">
              <w:rPr>
                <w:rFonts w:ascii="Garamond" w:eastAsiaTheme="minorEastAsia" w:hAnsi="Garamond" w:cstheme="minorBidi"/>
                <w:noProof/>
              </w:rPr>
              <w:tab/>
            </w:r>
            <w:r w:rsidRPr="00FC4420">
              <w:rPr>
                <w:rStyle w:val="Hyperlink"/>
                <w:rFonts w:ascii="Garamond" w:hAnsi="Garamond"/>
                <w:noProof/>
              </w:rPr>
              <w:t>Technical</w:t>
            </w:r>
            <w:r w:rsidRPr="00FC4420">
              <w:rPr>
                <w:rStyle w:val="Hyperlink"/>
                <w:rFonts w:ascii="Garamond" w:hAnsi="Garamond"/>
                <w:noProof/>
                <w:spacing w:val="-4"/>
              </w:rPr>
              <w:t xml:space="preserve"> </w:t>
            </w:r>
            <w:r w:rsidRPr="00FC4420">
              <w:rPr>
                <w:rStyle w:val="Hyperlink"/>
                <w:rFonts w:ascii="Garamond" w:hAnsi="Garamond"/>
                <w:noProof/>
              </w:rPr>
              <w:t>Scope</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_Toc166775412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19</w:t>
            </w:r>
            <w:r w:rsidRPr="00FC4420">
              <w:rPr>
                <w:rFonts w:ascii="Garamond" w:hAnsi="Garamond"/>
                <w:noProof/>
                <w:webHidden/>
              </w:rPr>
              <w:fldChar w:fldCharType="end"/>
            </w:r>
          </w:hyperlink>
        </w:p>
        <w:p w14:paraId="6BC06C5D" w14:textId="2FEB5744"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13" w:history="1">
            <w:r w:rsidRPr="00FC4420">
              <w:rPr>
                <w:rStyle w:val="Hyperlink"/>
                <w:rFonts w:ascii="Garamond" w:hAnsi="Garamond"/>
                <w:noProof/>
              </w:rPr>
              <w:t>2.6</w:t>
            </w:r>
            <w:r w:rsidRPr="00FC4420">
              <w:rPr>
                <w:rFonts w:ascii="Garamond" w:eastAsiaTheme="minorEastAsia" w:hAnsi="Garamond" w:cstheme="minorBidi"/>
                <w:noProof/>
              </w:rPr>
              <w:tab/>
            </w:r>
            <w:r w:rsidRPr="00FC4420">
              <w:rPr>
                <w:rStyle w:val="Hyperlink"/>
                <w:rFonts w:ascii="Garamond" w:hAnsi="Garamond"/>
                <w:noProof/>
              </w:rPr>
              <w:t>Geographical</w:t>
            </w:r>
            <w:r w:rsidRPr="00FC4420">
              <w:rPr>
                <w:rStyle w:val="Hyperlink"/>
                <w:rFonts w:ascii="Garamond" w:hAnsi="Garamond"/>
                <w:noProof/>
                <w:spacing w:val="-5"/>
              </w:rPr>
              <w:t xml:space="preserve"> </w:t>
            </w:r>
            <w:r w:rsidRPr="00FC4420">
              <w:rPr>
                <w:rStyle w:val="Hyperlink"/>
                <w:rFonts w:ascii="Garamond" w:hAnsi="Garamond"/>
                <w:noProof/>
              </w:rPr>
              <w:t>Scope</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_Toc166775413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20</w:t>
            </w:r>
            <w:r w:rsidRPr="00FC4420">
              <w:rPr>
                <w:rFonts w:ascii="Garamond" w:hAnsi="Garamond"/>
                <w:noProof/>
                <w:webHidden/>
              </w:rPr>
              <w:fldChar w:fldCharType="end"/>
            </w:r>
          </w:hyperlink>
        </w:p>
        <w:p w14:paraId="500A0D6B" w14:textId="25BF5A04"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14" w:history="1">
            <w:r w:rsidRPr="00FC4420">
              <w:rPr>
                <w:rStyle w:val="Hyperlink"/>
                <w:rFonts w:ascii="Garamond" w:hAnsi="Garamond"/>
                <w:noProof/>
              </w:rPr>
              <w:t>3.0</w:t>
            </w:r>
            <w:r w:rsidRPr="00FC4420">
              <w:rPr>
                <w:rFonts w:ascii="Garamond" w:eastAsiaTheme="minorEastAsia" w:hAnsi="Garamond" w:cstheme="minorBidi"/>
                <w:noProof/>
              </w:rPr>
              <w:tab/>
            </w:r>
            <w:r w:rsidRPr="00FC4420">
              <w:rPr>
                <w:rStyle w:val="Hyperlink"/>
                <w:rFonts w:ascii="Garamond" w:hAnsi="Garamond"/>
                <w:noProof/>
              </w:rPr>
              <w:t>METHODOLOGY</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_Toc166775414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21</w:t>
            </w:r>
            <w:r w:rsidRPr="00FC4420">
              <w:rPr>
                <w:rFonts w:ascii="Garamond" w:hAnsi="Garamond"/>
                <w:noProof/>
                <w:webHidden/>
              </w:rPr>
              <w:fldChar w:fldCharType="end"/>
            </w:r>
          </w:hyperlink>
        </w:p>
        <w:p w14:paraId="2CB18F6C" w14:textId="79022ADA"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15" w:history="1">
            <w:r w:rsidRPr="00FC4420">
              <w:rPr>
                <w:rStyle w:val="Hyperlink"/>
                <w:rFonts w:ascii="Garamond" w:eastAsia="Calibri" w:hAnsi="Garamond"/>
                <w:noProof/>
                <w:lang w:val="en-GB"/>
              </w:rPr>
              <w:t>3.1</w:t>
            </w:r>
            <w:r w:rsidRPr="00FC4420">
              <w:rPr>
                <w:rFonts w:ascii="Garamond" w:eastAsiaTheme="minorEastAsia" w:hAnsi="Garamond" w:cstheme="minorBidi"/>
                <w:noProof/>
              </w:rPr>
              <w:tab/>
            </w:r>
            <w:r w:rsidRPr="00FC4420">
              <w:rPr>
                <w:rStyle w:val="Hyperlink"/>
                <w:rFonts w:ascii="Garamond" w:eastAsia="Calibri" w:hAnsi="Garamond"/>
                <w:noProof/>
                <w:lang w:val="en-GB"/>
              </w:rPr>
              <w:t>Desk Review</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_Toc166775415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21</w:t>
            </w:r>
            <w:r w:rsidRPr="00FC4420">
              <w:rPr>
                <w:rFonts w:ascii="Garamond" w:hAnsi="Garamond"/>
                <w:noProof/>
                <w:webHidden/>
              </w:rPr>
              <w:fldChar w:fldCharType="end"/>
            </w:r>
          </w:hyperlink>
        </w:p>
        <w:p w14:paraId="32D7FC00" w14:textId="31CA8AD3"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16" w:history="1">
            <w:r w:rsidRPr="00FC4420">
              <w:rPr>
                <w:rStyle w:val="Hyperlink"/>
                <w:rFonts w:ascii="Garamond" w:eastAsia="Calibri" w:hAnsi="Garamond"/>
                <w:noProof/>
                <w:lang w:val="en-GB"/>
              </w:rPr>
              <w:t>3.2</w:t>
            </w:r>
            <w:r w:rsidRPr="00FC4420">
              <w:rPr>
                <w:rFonts w:ascii="Garamond" w:eastAsiaTheme="minorEastAsia" w:hAnsi="Garamond" w:cstheme="minorBidi"/>
                <w:noProof/>
              </w:rPr>
              <w:tab/>
            </w:r>
            <w:r w:rsidRPr="00FC4420">
              <w:rPr>
                <w:rStyle w:val="Hyperlink"/>
                <w:rFonts w:ascii="Garamond" w:eastAsia="Calibri" w:hAnsi="Garamond"/>
                <w:noProof/>
                <w:lang w:val="en-GB"/>
              </w:rPr>
              <w:t>Qualitative Methods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_Toc166775416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21</w:t>
            </w:r>
            <w:r w:rsidRPr="00FC4420">
              <w:rPr>
                <w:rFonts w:ascii="Garamond" w:hAnsi="Garamond"/>
                <w:noProof/>
                <w:webHidden/>
              </w:rPr>
              <w:fldChar w:fldCharType="end"/>
            </w:r>
          </w:hyperlink>
        </w:p>
        <w:p w14:paraId="22EB56B5" w14:textId="25EC3464"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17" w:history="1">
            <w:r w:rsidRPr="00FC4420">
              <w:rPr>
                <w:rStyle w:val="Hyperlink"/>
                <w:rFonts w:ascii="Garamond" w:eastAsia="Malgun Gothic" w:hAnsi="Garamond"/>
                <w:noProof/>
              </w:rPr>
              <w:t>3.3</w:t>
            </w:r>
            <w:r w:rsidRPr="00FC4420">
              <w:rPr>
                <w:rFonts w:ascii="Garamond" w:eastAsiaTheme="minorEastAsia" w:hAnsi="Garamond" w:cstheme="minorBidi"/>
                <w:noProof/>
              </w:rPr>
              <w:tab/>
            </w:r>
            <w:r w:rsidRPr="00FC4420">
              <w:rPr>
                <w:rStyle w:val="Hyperlink"/>
                <w:rFonts w:ascii="Garamond" w:eastAsia="Malgun Gothic" w:hAnsi="Garamond"/>
                <w:noProof/>
              </w:rPr>
              <w:t>Quantitative Methods - Household Survey (HHS)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_Toc166775417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22</w:t>
            </w:r>
            <w:r w:rsidRPr="00FC4420">
              <w:rPr>
                <w:rFonts w:ascii="Garamond" w:hAnsi="Garamond"/>
                <w:noProof/>
                <w:webHidden/>
              </w:rPr>
              <w:fldChar w:fldCharType="end"/>
            </w:r>
          </w:hyperlink>
        </w:p>
        <w:p w14:paraId="396A14E7" w14:textId="0AB2F676"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18" w:history="1">
            <w:r w:rsidRPr="00FC4420">
              <w:rPr>
                <w:rStyle w:val="Hyperlink"/>
                <w:rFonts w:ascii="Garamond" w:eastAsia="Calibri" w:hAnsi="Garamond"/>
                <w:noProof/>
                <w:lang w:val="en-GB"/>
              </w:rPr>
              <w:t>3.4</w:t>
            </w:r>
            <w:r w:rsidRPr="00FC4420">
              <w:rPr>
                <w:rFonts w:ascii="Garamond" w:eastAsiaTheme="minorEastAsia" w:hAnsi="Garamond" w:cstheme="minorBidi"/>
                <w:noProof/>
              </w:rPr>
              <w:tab/>
            </w:r>
            <w:r w:rsidRPr="00FC4420">
              <w:rPr>
                <w:rStyle w:val="Hyperlink"/>
                <w:rFonts w:ascii="Garamond" w:eastAsia="Calibri" w:hAnsi="Garamond"/>
                <w:noProof/>
                <w:lang w:val="en-GB"/>
              </w:rPr>
              <w:t>Data Analysis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_Toc166775418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24</w:t>
            </w:r>
            <w:r w:rsidRPr="00FC4420">
              <w:rPr>
                <w:rFonts w:ascii="Garamond" w:hAnsi="Garamond"/>
                <w:noProof/>
                <w:webHidden/>
              </w:rPr>
              <w:fldChar w:fldCharType="end"/>
            </w:r>
          </w:hyperlink>
        </w:p>
        <w:p w14:paraId="35B0AFC5" w14:textId="0791847D"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19" w:history="1">
            <w:r w:rsidRPr="00FC4420">
              <w:rPr>
                <w:rStyle w:val="Hyperlink"/>
                <w:rFonts w:ascii="Garamond" w:eastAsia="Calibri" w:hAnsi="Garamond"/>
                <w:noProof/>
                <w:lang w:val="en-GB"/>
              </w:rPr>
              <w:t>3.5</w:t>
            </w:r>
            <w:r w:rsidRPr="00FC4420">
              <w:rPr>
                <w:rFonts w:ascii="Garamond" w:eastAsiaTheme="minorEastAsia" w:hAnsi="Garamond" w:cstheme="minorBidi"/>
                <w:noProof/>
              </w:rPr>
              <w:tab/>
            </w:r>
            <w:r w:rsidRPr="00FC4420">
              <w:rPr>
                <w:rStyle w:val="Hyperlink"/>
                <w:rFonts w:ascii="Garamond" w:eastAsia="Calibri" w:hAnsi="Garamond"/>
                <w:noProof/>
                <w:lang w:val="en-GB"/>
              </w:rPr>
              <w:t>Ethical Considerations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_Toc166775419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24</w:t>
            </w:r>
            <w:r w:rsidRPr="00FC4420">
              <w:rPr>
                <w:rFonts w:ascii="Garamond" w:hAnsi="Garamond"/>
                <w:noProof/>
                <w:webHidden/>
              </w:rPr>
              <w:fldChar w:fldCharType="end"/>
            </w:r>
          </w:hyperlink>
        </w:p>
        <w:p w14:paraId="5653E7D7" w14:textId="7DA7D8DB"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0" w:history="1">
            <w:r w:rsidRPr="00FC4420">
              <w:rPr>
                <w:rStyle w:val="Hyperlink"/>
                <w:rFonts w:ascii="Garamond" w:eastAsia="Calibri" w:hAnsi="Garamond"/>
                <w:noProof/>
                <w:lang w:val="en-GB"/>
              </w:rPr>
              <w:t>3.6</w:t>
            </w:r>
            <w:r w:rsidRPr="00FC4420">
              <w:rPr>
                <w:rFonts w:ascii="Garamond" w:eastAsiaTheme="minorEastAsia" w:hAnsi="Garamond" w:cstheme="minorBidi"/>
                <w:noProof/>
              </w:rPr>
              <w:tab/>
            </w:r>
            <w:r w:rsidRPr="00FC4420">
              <w:rPr>
                <w:rStyle w:val="Hyperlink"/>
                <w:rFonts w:ascii="Garamond" w:eastAsia="Calibri" w:hAnsi="Garamond"/>
                <w:noProof/>
                <w:lang w:val="en-GB"/>
              </w:rPr>
              <w:t>Data Management</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_Toc166775420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24</w:t>
            </w:r>
            <w:r w:rsidRPr="00FC4420">
              <w:rPr>
                <w:rFonts w:ascii="Garamond" w:hAnsi="Garamond"/>
                <w:noProof/>
                <w:webHidden/>
              </w:rPr>
              <w:fldChar w:fldCharType="end"/>
            </w:r>
          </w:hyperlink>
        </w:p>
        <w:p w14:paraId="6BF203B0" w14:textId="011BA65A"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21" w:history="1">
            <w:r w:rsidRPr="00FC4420">
              <w:rPr>
                <w:rStyle w:val="Hyperlink"/>
                <w:rFonts w:ascii="Garamond" w:hAnsi="Garamond"/>
                <w:noProof/>
              </w:rPr>
              <w:t>4.0</w:t>
            </w:r>
            <w:r w:rsidRPr="00FC4420">
              <w:rPr>
                <w:rFonts w:ascii="Garamond" w:eastAsiaTheme="minorEastAsia" w:hAnsi="Garamond" w:cstheme="minorBidi"/>
                <w:noProof/>
              </w:rPr>
              <w:tab/>
            </w:r>
            <w:r w:rsidRPr="00FC4420">
              <w:rPr>
                <w:rStyle w:val="Hyperlink"/>
                <w:rFonts w:ascii="Garamond" w:hAnsi="Garamond"/>
                <w:noProof/>
              </w:rPr>
              <w:t>EVALUATION FINDINGS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_Toc166775421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25</w:t>
            </w:r>
            <w:r w:rsidRPr="00FC4420">
              <w:rPr>
                <w:rFonts w:ascii="Garamond" w:hAnsi="Garamond"/>
                <w:noProof/>
                <w:webHidden/>
              </w:rPr>
              <w:fldChar w:fldCharType="end"/>
            </w:r>
          </w:hyperlink>
        </w:p>
        <w:p w14:paraId="3E8455F2" w14:textId="796A4A9C"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22" w:history="1">
            <w:r w:rsidRPr="00FC4420">
              <w:rPr>
                <w:rStyle w:val="Hyperlink"/>
                <w:rFonts w:ascii="Garamond" w:hAnsi="Garamond"/>
                <w:noProof/>
              </w:rPr>
              <w:t>4.1</w:t>
            </w:r>
            <w:r w:rsidRPr="00FC4420">
              <w:rPr>
                <w:rFonts w:ascii="Garamond" w:eastAsiaTheme="minorEastAsia" w:hAnsi="Garamond" w:cstheme="minorBidi"/>
                <w:noProof/>
              </w:rPr>
              <w:tab/>
            </w:r>
            <w:r w:rsidRPr="00FC4420">
              <w:rPr>
                <w:rStyle w:val="Hyperlink"/>
                <w:rFonts w:ascii="Garamond" w:hAnsi="Garamond"/>
                <w:noProof/>
              </w:rPr>
              <w:t>Demographic Characteristics Respondents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_Toc166775422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25</w:t>
            </w:r>
            <w:r w:rsidRPr="00FC4420">
              <w:rPr>
                <w:rFonts w:ascii="Garamond" w:hAnsi="Garamond"/>
                <w:noProof/>
                <w:webHidden/>
              </w:rPr>
              <w:fldChar w:fldCharType="end"/>
            </w:r>
          </w:hyperlink>
        </w:p>
        <w:p w14:paraId="75E20B0A" w14:textId="614C868D"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3" w:history="1">
            <w:r w:rsidRPr="00FC4420">
              <w:rPr>
                <w:rStyle w:val="Hyperlink"/>
                <w:rFonts w:ascii="Garamond" w:eastAsia="Calibri" w:hAnsi="Garamond"/>
                <w:noProof/>
              </w:rPr>
              <w:t>4.2</w:t>
            </w:r>
            <w:r w:rsidRPr="00FC4420">
              <w:rPr>
                <w:rFonts w:ascii="Garamond" w:eastAsiaTheme="minorEastAsia" w:hAnsi="Garamond" w:cstheme="minorBidi"/>
                <w:noProof/>
              </w:rPr>
              <w:tab/>
            </w:r>
            <w:r w:rsidRPr="00FC4420">
              <w:rPr>
                <w:rStyle w:val="Hyperlink"/>
                <w:rFonts w:ascii="Garamond" w:eastAsia="Calibri" w:hAnsi="Garamond"/>
                <w:noProof/>
              </w:rPr>
              <w:t>Evaluation of the CDP Sessions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_Toc166775423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28</w:t>
            </w:r>
            <w:r w:rsidRPr="00FC4420">
              <w:rPr>
                <w:rFonts w:ascii="Garamond" w:hAnsi="Garamond"/>
                <w:noProof/>
                <w:webHidden/>
              </w:rPr>
              <w:fldChar w:fldCharType="end"/>
            </w:r>
          </w:hyperlink>
        </w:p>
        <w:p w14:paraId="7BCE6E93" w14:textId="63727107"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4" w:history="1">
            <w:r w:rsidRPr="00FC4420">
              <w:rPr>
                <w:rStyle w:val="Hyperlink"/>
                <w:rFonts w:ascii="Garamond" w:eastAsia="Calibri" w:hAnsi="Garamond"/>
                <w:noProof/>
              </w:rPr>
              <w:t>4.3</w:t>
            </w:r>
            <w:r w:rsidRPr="00FC4420">
              <w:rPr>
                <w:rFonts w:ascii="Garamond" w:eastAsiaTheme="minorEastAsia" w:hAnsi="Garamond" w:cstheme="minorBidi"/>
                <w:noProof/>
              </w:rPr>
              <w:tab/>
            </w:r>
            <w:r w:rsidRPr="00FC4420">
              <w:rPr>
                <w:rStyle w:val="Hyperlink"/>
                <w:rFonts w:ascii="Garamond" w:eastAsia="Calibri" w:hAnsi="Garamond"/>
                <w:noProof/>
              </w:rPr>
              <w:t>Evaluation of the</w:t>
            </w:r>
            <w:r w:rsidRPr="00FC4420">
              <w:rPr>
                <w:rStyle w:val="Hyperlink"/>
                <w:rFonts w:ascii="Garamond" w:hAnsi="Garamond"/>
                <w:noProof/>
              </w:rPr>
              <w:t xml:space="preserve"> </w:t>
            </w:r>
            <w:r w:rsidRPr="00FC4420">
              <w:rPr>
                <w:rStyle w:val="Hyperlink"/>
                <w:rFonts w:ascii="Garamond" w:eastAsia="Calibri" w:hAnsi="Garamond"/>
                <w:noProof/>
              </w:rPr>
              <w:t>social interaction and power dynamics in relationships among traditional/community/nongovernment and government structures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_Toc166775424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36</w:t>
            </w:r>
            <w:r w:rsidRPr="00FC4420">
              <w:rPr>
                <w:rFonts w:ascii="Garamond" w:hAnsi="Garamond"/>
                <w:noProof/>
                <w:webHidden/>
              </w:rPr>
              <w:fldChar w:fldCharType="end"/>
            </w:r>
          </w:hyperlink>
        </w:p>
        <w:p w14:paraId="3974E5A1" w14:textId="65B84D0A"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5" w:history="1">
            <w:r w:rsidRPr="00FC4420">
              <w:rPr>
                <w:rStyle w:val="Hyperlink"/>
                <w:rFonts w:ascii="Garamond" w:hAnsi="Garamond"/>
                <w:noProof/>
              </w:rPr>
              <w:t>4.4</w:t>
            </w:r>
            <w:r w:rsidRPr="00FC4420">
              <w:rPr>
                <w:rFonts w:ascii="Garamond" w:eastAsiaTheme="minorEastAsia" w:hAnsi="Garamond" w:cstheme="minorBidi"/>
                <w:noProof/>
              </w:rPr>
              <w:tab/>
            </w:r>
            <w:r w:rsidRPr="00FC4420">
              <w:rPr>
                <w:rStyle w:val="Hyperlink"/>
                <w:rFonts w:ascii="Garamond" w:hAnsi="Garamond"/>
                <w:noProof/>
              </w:rPr>
              <w:t>Assessment of Results and Achievements Based on Indicators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_Toc166775425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50</w:t>
            </w:r>
            <w:r w:rsidRPr="00FC4420">
              <w:rPr>
                <w:rFonts w:ascii="Garamond" w:hAnsi="Garamond"/>
                <w:noProof/>
                <w:webHidden/>
              </w:rPr>
              <w:fldChar w:fldCharType="end"/>
            </w:r>
          </w:hyperlink>
        </w:p>
        <w:p w14:paraId="549A1E70" w14:textId="76A20961"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6" w:history="1">
            <w:r w:rsidRPr="00FC4420">
              <w:rPr>
                <w:rStyle w:val="Hyperlink"/>
                <w:rFonts w:ascii="Garamond" w:eastAsia="Calibri" w:hAnsi="Garamond"/>
                <w:noProof/>
              </w:rPr>
              <w:t>4.5</w:t>
            </w:r>
            <w:r w:rsidRPr="00FC4420">
              <w:rPr>
                <w:rFonts w:ascii="Garamond" w:eastAsiaTheme="minorEastAsia" w:hAnsi="Garamond" w:cstheme="minorBidi"/>
                <w:noProof/>
              </w:rPr>
              <w:tab/>
            </w:r>
            <w:r w:rsidRPr="00FC4420">
              <w:rPr>
                <w:rStyle w:val="Hyperlink"/>
                <w:rFonts w:ascii="Garamond" w:eastAsia="Calibri" w:hAnsi="Garamond"/>
                <w:noProof/>
              </w:rPr>
              <w:t>Evaluation of the developmental challenges and opportunities and the effectiveness of the initiatives in transforming community development planning.</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_Toc166775426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53</w:t>
            </w:r>
            <w:r w:rsidRPr="00FC4420">
              <w:rPr>
                <w:rFonts w:ascii="Garamond" w:hAnsi="Garamond"/>
                <w:noProof/>
                <w:webHidden/>
              </w:rPr>
              <w:fldChar w:fldCharType="end"/>
            </w:r>
          </w:hyperlink>
        </w:p>
        <w:p w14:paraId="378E9D6F" w14:textId="04F6F1F6"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27" w:history="1">
            <w:r w:rsidRPr="00FC4420">
              <w:rPr>
                <w:rStyle w:val="Hyperlink"/>
                <w:rFonts w:ascii="Garamond" w:hAnsi="Garamond"/>
                <w:noProof/>
              </w:rPr>
              <w:t>5.0</w:t>
            </w:r>
            <w:r w:rsidRPr="00FC4420">
              <w:rPr>
                <w:rFonts w:ascii="Garamond" w:eastAsiaTheme="minorEastAsia" w:hAnsi="Garamond" w:cstheme="minorBidi"/>
                <w:noProof/>
              </w:rPr>
              <w:tab/>
            </w:r>
            <w:r w:rsidRPr="00FC4420">
              <w:rPr>
                <w:rStyle w:val="Hyperlink"/>
                <w:rFonts w:ascii="Garamond" w:hAnsi="Garamond"/>
                <w:noProof/>
              </w:rPr>
              <w:t>CONCLUSION AND RECOMMENDATIONS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_Toc166775427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63</w:t>
            </w:r>
            <w:r w:rsidRPr="00FC4420">
              <w:rPr>
                <w:rFonts w:ascii="Garamond" w:hAnsi="Garamond"/>
                <w:noProof/>
                <w:webHidden/>
              </w:rPr>
              <w:fldChar w:fldCharType="end"/>
            </w:r>
          </w:hyperlink>
        </w:p>
        <w:p w14:paraId="753A70A1" w14:textId="5ACF2B1E" w:rsidR="00FC4420" w:rsidRPr="00FC4420" w:rsidRDefault="00FC4420" w:rsidP="00FC4420">
          <w:pPr>
            <w:pStyle w:val="TOC1"/>
            <w:tabs>
              <w:tab w:val="right" w:leader="dot" w:pos="9790"/>
            </w:tabs>
            <w:spacing w:before="0" w:line="360" w:lineRule="auto"/>
            <w:rPr>
              <w:rFonts w:ascii="Garamond" w:eastAsiaTheme="minorEastAsia" w:hAnsi="Garamond" w:cstheme="minorBidi"/>
              <w:noProof/>
            </w:rPr>
          </w:pPr>
          <w:hyperlink w:anchor="_Toc166775428" w:history="1">
            <w:r w:rsidRPr="00FC4420">
              <w:rPr>
                <w:rStyle w:val="Hyperlink"/>
                <w:rFonts w:ascii="Garamond" w:hAnsi="Garamond"/>
                <w:noProof/>
              </w:rPr>
              <w:t>5.1</w:t>
            </w:r>
            <w:r w:rsidRPr="00FC4420">
              <w:rPr>
                <w:rFonts w:ascii="Garamond" w:eastAsiaTheme="minorEastAsia" w:hAnsi="Garamond" w:cstheme="minorBidi"/>
                <w:noProof/>
              </w:rPr>
              <w:tab/>
            </w:r>
            <w:r w:rsidRPr="00FC4420">
              <w:rPr>
                <w:rStyle w:val="Hyperlink"/>
                <w:rFonts w:ascii="Garamond" w:hAnsi="Garamond"/>
                <w:noProof/>
              </w:rPr>
              <w:t>Conclusion</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_Toc166775428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63</w:t>
            </w:r>
            <w:r w:rsidRPr="00FC4420">
              <w:rPr>
                <w:rFonts w:ascii="Garamond" w:hAnsi="Garamond"/>
                <w:noProof/>
                <w:webHidden/>
              </w:rPr>
              <w:fldChar w:fldCharType="end"/>
            </w:r>
          </w:hyperlink>
        </w:p>
        <w:p w14:paraId="5DFFD15D" w14:textId="577804A2" w:rsidR="00FC4420" w:rsidRPr="00FC4420" w:rsidRDefault="00FC4420" w:rsidP="00FC4420">
          <w:pPr>
            <w:pStyle w:val="TOC2"/>
            <w:tabs>
              <w:tab w:val="right" w:leader="dot" w:pos="9790"/>
            </w:tabs>
            <w:spacing w:before="0" w:line="360" w:lineRule="auto"/>
            <w:rPr>
              <w:rFonts w:ascii="Garamond" w:eastAsiaTheme="minorEastAsia" w:hAnsi="Garamond" w:cstheme="minorBidi"/>
              <w:noProof/>
            </w:rPr>
          </w:pPr>
          <w:hyperlink w:anchor="_Toc166775429" w:history="1">
            <w:r w:rsidRPr="00FC4420">
              <w:rPr>
                <w:rStyle w:val="Hyperlink"/>
                <w:rFonts w:ascii="Garamond" w:eastAsia="Calibri" w:hAnsi="Garamond"/>
                <w:noProof/>
              </w:rPr>
              <w:t>5.2</w:t>
            </w:r>
            <w:r w:rsidRPr="00FC4420">
              <w:rPr>
                <w:rFonts w:ascii="Garamond" w:eastAsiaTheme="minorEastAsia" w:hAnsi="Garamond" w:cstheme="minorBidi"/>
                <w:noProof/>
              </w:rPr>
              <w:tab/>
            </w:r>
            <w:r w:rsidRPr="00FC4420">
              <w:rPr>
                <w:rStyle w:val="Hyperlink"/>
                <w:rFonts w:ascii="Garamond" w:eastAsia="Calibri" w:hAnsi="Garamond"/>
                <w:noProof/>
              </w:rPr>
              <w:t>Recommendations</w:t>
            </w:r>
            <w:r w:rsidRPr="00FC4420">
              <w:rPr>
                <w:rFonts w:ascii="Garamond" w:hAnsi="Garamond"/>
                <w:noProof/>
                <w:webHidden/>
              </w:rPr>
              <w:tab/>
            </w:r>
            <w:r w:rsidRPr="00FC4420">
              <w:rPr>
                <w:rFonts w:ascii="Garamond" w:hAnsi="Garamond"/>
                <w:noProof/>
                <w:webHidden/>
              </w:rPr>
              <w:fldChar w:fldCharType="begin"/>
            </w:r>
            <w:r w:rsidRPr="00FC4420">
              <w:rPr>
                <w:rFonts w:ascii="Garamond" w:hAnsi="Garamond"/>
                <w:noProof/>
                <w:webHidden/>
              </w:rPr>
              <w:instrText xml:space="preserve"> PAGEREF _Toc166775429 \h </w:instrText>
            </w:r>
            <w:r w:rsidRPr="00FC4420">
              <w:rPr>
                <w:rFonts w:ascii="Garamond" w:hAnsi="Garamond"/>
                <w:noProof/>
                <w:webHidden/>
              </w:rPr>
            </w:r>
            <w:r w:rsidRPr="00FC4420">
              <w:rPr>
                <w:rFonts w:ascii="Garamond" w:hAnsi="Garamond"/>
                <w:noProof/>
                <w:webHidden/>
              </w:rPr>
              <w:fldChar w:fldCharType="separate"/>
            </w:r>
            <w:r>
              <w:rPr>
                <w:rFonts w:ascii="Garamond" w:hAnsi="Garamond"/>
                <w:noProof/>
                <w:webHidden/>
              </w:rPr>
              <w:t>64</w:t>
            </w:r>
            <w:r w:rsidRPr="00FC4420">
              <w:rPr>
                <w:rFonts w:ascii="Garamond" w:hAnsi="Garamond"/>
                <w:noProof/>
                <w:webHidden/>
              </w:rPr>
              <w:fldChar w:fldCharType="end"/>
            </w:r>
          </w:hyperlink>
        </w:p>
        <w:p w14:paraId="5C37B9B4" w14:textId="77777777" w:rsidR="00F94BFF" w:rsidRPr="00116D0B" w:rsidRDefault="00F94BFF" w:rsidP="00E77848">
          <w:pPr>
            <w:spacing w:line="276" w:lineRule="auto"/>
            <w:rPr>
              <w:rFonts w:ascii="Garamond" w:hAnsi="Garamond"/>
              <w:sz w:val="24"/>
              <w:szCs w:val="24"/>
            </w:rPr>
          </w:pPr>
          <w:r w:rsidRPr="00E77848">
            <w:rPr>
              <w:rFonts w:ascii="Garamond" w:hAnsi="Garamond"/>
              <w:b/>
              <w:bCs/>
              <w:noProof/>
              <w:sz w:val="24"/>
              <w:szCs w:val="24"/>
            </w:rPr>
            <w:fldChar w:fldCharType="end"/>
          </w:r>
        </w:p>
      </w:sdtContent>
    </w:sdt>
    <w:p w14:paraId="60DC0455" w14:textId="77777777" w:rsidR="00F94BFF" w:rsidRPr="00116D0B" w:rsidRDefault="00F94BFF" w:rsidP="00F94BFF">
      <w:pPr>
        <w:rPr>
          <w:rFonts w:ascii="Garamond" w:hAnsi="Garamond"/>
          <w:b/>
          <w:color w:val="92D050"/>
          <w:sz w:val="24"/>
          <w:szCs w:val="24"/>
        </w:rPr>
      </w:pPr>
    </w:p>
    <w:p w14:paraId="2627457A" w14:textId="336CF45E" w:rsidR="00116D0B" w:rsidRPr="00116D0B" w:rsidRDefault="00116D0B" w:rsidP="00116D0B">
      <w:pPr>
        <w:pStyle w:val="Heading1"/>
      </w:pPr>
      <w:bookmarkStart w:id="5" w:name="_Toc166775399"/>
      <w:r w:rsidRPr="00116D0B">
        <w:t>LIST OF TABLES</w:t>
      </w:r>
      <w:bookmarkEnd w:id="5"/>
    </w:p>
    <w:p w14:paraId="33FF39D9" w14:textId="4687D152"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r w:rsidRPr="00116D0B">
        <w:rPr>
          <w:rFonts w:ascii="Garamond" w:hAnsi="Garamond"/>
          <w:sz w:val="24"/>
          <w:szCs w:val="24"/>
        </w:rPr>
        <w:fldChar w:fldCharType="begin"/>
      </w:r>
      <w:r w:rsidRPr="00116D0B">
        <w:rPr>
          <w:rFonts w:ascii="Garamond" w:hAnsi="Garamond"/>
          <w:sz w:val="24"/>
          <w:szCs w:val="24"/>
        </w:rPr>
        <w:instrText xml:space="preserve"> TOC \h \z \c "Table" </w:instrText>
      </w:r>
      <w:r w:rsidRPr="00116D0B">
        <w:rPr>
          <w:rFonts w:ascii="Garamond" w:hAnsi="Garamond"/>
          <w:sz w:val="24"/>
          <w:szCs w:val="24"/>
        </w:rPr>
        <w:fldChar w:fldCharType="separate"/>
      </w:r>
      <w:hyperlink w:anchor="_Toc166704024" w:history="1">
        <w:r w:rsidRPr="00116D0B">
          <w:rPr>
            <w:rStyle w:val="Hyperlink"/>
            <w:rFonts w:ascii="Garamond" w:hAnsi="Garamond"/>
            <w:noProof/>
            <w:sz w:val="24"/>
            <w:szCs w:val="24"/>
          </w:rPr>
          <w:t>Table 1: The 16 Wards of Michika</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_Toc166704024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18</w:t>
        </w:r>
        <w:r w:rsidRPr="00116D0B">
          <w:rPr>
            <w:rFonts w:ascii="Garamond" w:hAnsi="Garamond"/>
            <w:noProof/>
            <w:webHidden/>
            <w:sz w:val="24"/>
            <w:szCs w:val="24"/>
          </w:rPr>
          <w:fldChar w:fldCharType="end"/>
        </w:r>
      </w:hyperlink>
    </w:p>
    <w:p w14:paraId="615B170B" w14:textId="5B0BE6B4"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25" w:history="1">
        <w:r w:rsidRPr="00116D0B">
          <w:rPr>
            <w:rStyle w:val="Hyperlink"/>
            <w:rFonts w:ascii="Garamond" w:hAnsi="Garamond"/>
            <w:noProof/>
            <w:sz w:val="24"/>
            <w:szCs w:val="24"/>
          </w:rPr>
          <w:t>Table 2: Key stakeholders interviewed</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_Toc166704025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20</w:t>
        </w:r>
        <w:r w:rsidRPr="00116D0B">
          <w:rPr>
            <w:rFonts w:ascii="Garamond" w:hAnsi="Garamond"/>
            <w:noProof/>
            <w:webHidden/>
            <w:sz w:val="24"/>
            <w:szCs w:val="24"/>
          </w:rPr>
          <w:fldChar w:fldCharType="end"/>
        </w:r>
      </w:hyperlink>
    </w:p>
    <w:p w14:paraId="7E8FD955" w14:textId="29860F58"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26" w:history="1">
        <w:r w:rsidRPr="00116D0B">
          <w:rPr>
            <w:rStyle w:val="Hyperlink"/>
            <w:rFonts w:ascii="Garamond" w:hAnsi="Garamond"/>
            <w:noProof/>
            <w:sz w:val="24"/>
            <w:szCs w:val="24"/>
          </w:rPr>
          <w:t>Table 3: Total number of FGDs conducted</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_Toc166704026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20</w:t>
        </w:r>
        <w:r w:rsidRPr="00116D0B">
          <w:rPr>
            <w:rFonts w:ascii="Garamond" w:hAnsi="Garamond"/>
            <w:noProof/>
            <w:webHidden/>
            <w:sz w:val="24"/>
            <w:szCs w:val="24"/>
          </w:rPr>
          <w:fldChar w:fldCharType="end"/>
        </w:r>
      </w:hyperlink>
    </w:p>
    <w:p w14:paraId="6F9197FF" w14:textId="6DEB02CC"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27" w:history="1">
        <w:r w:rsidRPr="00116D0B">
          <w:rPr>
            <w:rStyle w:val="Hyperlink"/>
            <w:rFonts w:ascii="Garamond" w:hAnsi="Garamond"/>
            <w:noProof/>
            <w:sz w:val="24"/>
            <w:szCs w:val="24"/>
          </w:rPr>
          <w:t>Table 4: Number of surveyed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_Toc166704027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21</w:t>
        </w:r>
        <w:r w:rsidRPr="00116D0B">
          <w:rPr>
            <w:rFonts w:ascii="Garamond" w:hAnsi="Garamond"/>
            <w:noProof/>
            <w:webHidden/>
            <w:sz w:val="24"/>
            <w:szCs w:val="24"/>
          </w:rPr>
          <w:fldChar w:fldCharType="end"/>
        </w:r>
      </w:hyperlink>
    </w:p>
    <w:p w14:paraId="3F81173C" w14:textId="4B2C4D45"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28" w:history="1">
        <w:r w:rsidRPr="00116D0B">
          <w:rPr>
            <w:rStyle w:val="Hyperlink"/>
            <w:rFonts w:ascii="Garamond" w:hAnsi="Garamond"/>
            <w:noProof/>
            <w:sz w:val="24"/>
            <w:szCs w:val="24"/>
          </w:rPr>
          <w:t>Table 5: Gender of the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_Toc166704028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23</w:t>
        </w:r>
        <w:r w:rsidRPr="00116D0B">
          <w:rPr>
            <w:rFonts w:ascii="Garamond" w:hAnsi="Garamond"/>
            <w:noProof/>
            <w:webHidden/>
            <w:sz w:val="24"/>
            <w:szCs w:val="24"/>
          </w:rPr>
          <w:fldChar w:fldCharType="end"/>
        </w:r>
      </w:hyperlink>
    </w:p>
    <w:p w14:paraId="56652D8A" w14:textId="46B64301"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29" w:history="1">
        <w:r w:rsidRPr="00116D0B">
          <w:rPr>
            <w:rStyle w:val="Hyperlink"/>
            <w:rFonts w:ascii="Garamond" w:hAnsi="Garamond"/>
            <w:noProof/>
            <w:sz w:val="24"/>
            <w:szCs w:val="24"/>
          </w:rPr>
          <w:t>Table 6: Age distribution of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_Toc166704029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23</w:t>
        </w:r>
        <w:r w:rsidRPr="00116D0B">
          <w:rPr>
            <w:rFonts w:ascii="Garamond" w:hAnsi="Garamond"/>
            <w:noProof/>
            <w:webHidden/>
            <w:sz w:val="24"/>
            <w:szCs w:val="24"/>
          </w:rPr>
          <w:fldChar w:fldCharType="end"/>
        </w:r>
      </w:hyperlink>
    </w:p>
    <w:p w14:paraId="0290F1AF" w14:textId="2C1564EA"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0" w:history="1">
        <w:r w:rsidRPr="00116D0B">
          <w:rPr>
            <w:rStyle w:val="Hyperlink"/>
            <w:rFonts w:ascii="Garamond" w:hAnsi="Garamond"/>
            <w:noProof/>
            <w:sz w:val="24"/>
            <w:szCs w:val="24"/>
          </w:rPr>
          <w:t>Table 7: Respondents marital status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_Toc166704030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23</w:t>
        </w:r>
        <w:r w:rsidRPr="00116D0B">
          <w:rPr>
            <w:rFonts w:ascii="Garamond" w:hAnsi="Garamond"/>
            <w:noProof/>
            <w:webHidden/>
            <w:sz w:val="24"/>
            <w:szCs w:val="24"/>
          </w:rPr>
          <w:fldChar w:fldCharType="end"/>
        </w:r>
      </w:hyperlink>
    </w:p>
    <w:p w14:paraId="0D94854B" w14:textId="7C54C7B8"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1" w:history="1">
        <w:r w:rsidRPr="00116D0B">
          <w:rPr>
            <w:rStyle w:val="Hyperlink"/>
            <w:rFonts w:ascii="Garamond" w:hAnsi="Garamond"/>
            <w:noProof/>
            <w:sz w:val="24"/>
            <w:szCs w:val="24"/>
          </w:rPr>
          <w:t>Table 8: Highest level of education</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_Toc166704031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24</w:t>
        </w:r>
        <w:r w:rsidRPr="00116D0B">
          <w:rPr>
            <w:rFonts w:ascii="Garamond" w:hAnsi="Garamond"/>
            <w:noProof/>
            <w:webHidden/>
            <w:sz w:val="24"/>
            <w:szCs w:val="24"/>
          </w:rPr>
          <w:fldChar w:fldCharType="end"/>
        </w:r>
      </w:hyperlink>
    </w:p>
    <w:p w14:paraId="15CA4300" w14:textId="10AF7895"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2" w:history="1">
        <w:r w:rsidRPr="00116D0B">
          <w:rPr>
            <w:rStyle w:val="Hyperlink"/>
            <w:rFonts w:ascii="Garamond" w:hAnsi="Garamond"/>
            <w:noProof/>
            <w:sz w:val="24"/>
            <w:szCs w:val="24"/>
          </w:rPr>
          <w:t>Table 9: Ethnic composition of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_Toc166704032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24</w:t>
        </w:r>
        <w:r w:rsidRPr="00116D0B">
          <w:rPr>
            <w:rFonts w:ascii="Garamond" w:hAnsi="Garamond"/>
            <w:noProof/>
            <w:webHidden/>
            <w:sz w:val="24"/>
            <w:szCs w:val="24"/>
          </w:rPr>
          <w:fldChar w:fldCharType="end"/>
        </w:r>
      </w:hyperlink>
    </w:p>
    <w:p w14:paraId="0B791CB0" w14:textId="5C6B7BDA"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3" w:history="1">
        <w:r w:rsidRPr="00116D0B">
          <w:rPr>
            <w:rStyle w:val="Hyperlink"/>
            <w:rFonts w:ascii="Garamond" w:hAnsi="Garamond"/>
            <w:noProof/>
            <w:sz w:val="24"/>
            <w:szCs w:val="24"/>
          </w:rPr>
          <w:t>Table 10: Religious affiliation of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_Toc166704033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25</w:t>
        </w:r>
        <w:r w:rsidRPr="00116D0B">
          <w:rPr>
            <w:rFonts w:ascii="Garamond" w:hAnsi="Garamond"/>
            <w:noProof/>
            <w:webHidden/>
            <w:sz w:val="24"/>
            <w:szCs w:val="24"/>
          </w:rPr>
          <w:fldChar w:fldCharType="end"/>
        </w:r>
      </w:hyperlink>
    </w:p>
    <w:p w14:paraId="404E3C91" w14:textId="279881B9"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4" w:history="1">
        <w:r w:rsidRPr="00116D0B">
          <w:rPr>
            <w:rStyle w:val="Hyperlink"/>
            <w:rFonts w:ascii="Garamond" w:hAnsi="Garamond"/>
            <w:noProof/>
            <w:sz w:val="24"/>
            <w:szCs w:val="24"/>
          </w:rPr>
          <w:t>Table 11: Disability status of the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_Toc166704034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25</w:t>
        </w:r>
        <w:r w:rsidRPr="00116D0B">
          <w:rPr>
            <w:rFonts w:ascii="Garamond" w:hAnsi="Garamond"/>
            <w:noProof/>
            <w:webHidden/>
            <w:sz w:val="24"/>
            <w:szCs w:val="24"/>
          </w:rPr>
          <w:fldChar w:fldCharType="end"/>
        </w:r>
      </w:hyperlink>
    </w:p>
    <w:p w14:paraId="14765C19" w14:textId="70B3FCB9"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5" w:history="1">
        <w:r w:rsidRPr="00116D0B">
          <w:rPr>
            <w:rStyle w:val="Hyperlink"/>
            <w:rFonts w:ascii="Garamond" w:hAnsi="Garamond"/>
            <w:noProof/>
            <w:sz w:val="24"/>
            <w:szCs w:val="24"/>
          </w:rPr>
          <w:t>Table 12: Language spoken by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_Toc166704035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25</w:t>
        </w:r>
        <w:r w:rsidRPr="00116D0B">
          <w:rPr>
            <w:rFonts w:ascii="Garamond" w:hAnsi="Garamond"/>
            <w:noProof/>
            <w:webHidden/>
            <w:sz w:val="24"/>
            <w:szCs w:val="24"/>
          </w:rPr>
          <w:fldChar w:fldCharType="end"/>
        </w:r>
      </w:hyperlink>
    </w:p>
    <w:p w14:paraId="1BB7E142" w14:textId="2D6B95A7"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6" w:history="1">
        <w:r w:rsidRPr="00116D0B">
          <w:rPr>
            <w:rStyle w:val="Hyperlink"/>
            <w:rFonts w:ascii="Garamond" w:hAnsi="Garamond"/>
            <w:noProof/>
            <w:sz w:val="24"/>
            <w:szCs w:val="24"/>
          </w:rPr>
          <w:t>Table 13: Occupation of respondents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_Toc166704036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26</w:t>
        </w:r>
        <w:r w:rsidRPr="00116D0B">
          <w:rPr>
            <w:rFonts w:ascii="Garamond" w:hAnsi="Garamond"/>
            <w:noProof/>
            <w:webHidden/>
            <w:sz w:val="24"/>
            <w:szCs w:val="24"/>
          </w:rPr>
          <w:fldChar w:fldCharType="end"/>
        </w:r>
      </w:hyperlink>
    </w:p>
    <w:p w14:paraId="784960F6" w14:textId="74B870E5"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7" w:history="1">
        <w:r w:rsidRPr="00116D0B">
          <w:rPr>
            <w:rStyle w:val="Hyperlink"/>
            <w:rFonts w:ascii="Garamond" w:hAnsi="Garamond"/>
            <w:noProof/>
            <w:sz w:val="24"/>
            <w:szCs w:val="24"/>
          </w:rPr>
          <w:t>Table 14: Percentage of respondents reported to have attended the CDP sessions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_Toc166704037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27</w:t>
        </w:r>
        <w:r w:rsidRPr="00116D0B">
          <w:rPr>
            <w:rFonts w:ascii="Garamond" w:hAnsi="Garamond"/>
            <w:noProof/>
            <w:webHidden/>
            <w:sz w:val="24"/>
            <w:szCs w:val="24"/>
          </w:rPr>
          <w:fldChar w:fldCharType="end"/>
        </w:r>
      </w:hyperlink>
    </w:p>
    <w:p w14:paraId="3219C237" w14:textId="74CD1E04"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8" w:history="1">
        <w:r w:rsidRPr="00116D0B">
          <w:rPr>
            <w:rStyle w:val="Hyperlink"/>
            <w:rFonts w:ascii="Garamond" w:hAnsi="Garamond"/>
            <w:noProof/>
            <w:sz w:val="24"/>
            <w:szCs w:val="24"/>
          </w:rPr>
          <w:t>Table 15: Participation in CDP sessions by categories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_Toc166704038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27</w:t>
        </w:r>
        <w:r w:rsidRPr="00116D0B">
          <w:rPr>
            <w:rFonts w:ascii="Garamond" w:hAnsi="Garamond"/>
            <w:noProof/>
            <w:webHidden/>
            <w:sz w:val="24"/>
            <w:szCs w:val="24"/>
          </w:rPr>
          <w:fldChar w:fldCharType="end"/>
        </w:r>
      </w:hyperlink>
    </w:p>
    <w:p w14:paraId="213C93C5" w14:textId="700AC38D"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39" w:history="1">
        <w:r w:rsidRPr="00116D0B">
          <w:rPr>
            <w:rStyle w:val="Hyperlink"/>
            <w:rFonts w:ascii="Garamond" w:hAnsi="Garamond"/>
            <w:noProof/>
            <w:sz w:val="24"/>
            <w:szCs w:val="24"/>
          </w:rPr>
          <w:t>Table 16: Medium through which community members learned about the CDP sessions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_Toc166704039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28</w:t>
        </w:r>
        <w:r w:rsidRPr="00116D0B">
          <w:rPr>
            <w:rFonts w:ascii="Garamond" w:hAnsi="Garamond"/>
            <w:noProof/>
            <w:webHidden/>
            <w:sz w:val="24"/>
            <w:szCs w:val="24"/>
          </w:rPr>
          <w:fldChar w:fldCharType="end"/>
        </w:r>
      </w:hyperlink>
    </w:p>
    <w:p w14:paraId="2BFDB39A" w14:textId="6939EBEE"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0" w:history="1">
        <w:r w:rsidRPr="00116D0B">
          <w:rPr>
            <w:rStyle w:val="Hyperlink"/>
            <w:rFonts w:ascii="Garamond" w:hAnsi="Garamond"/>
            <w:noProof/>
            <w:sz w:val="24"/>
            <w:szCs w:val="24"/>
          </w:rPr>
          <w:t>Table 17: Respondents perception regarding level of encouragement for participation and interaction during the CDP sessions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_Toc166704040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29</w:t>
        </w:r>
        <w:r w:rsidRPr="00116D0B">
          <w:rPr>
            <w:rFonts w:ascii="Garamond" w:hAnsi="Garamond"/>
            <w:noProof/>
            <w:webHidden/>
            <w:sz w:val="24"/>
            <w:szCs w:val="24"/>
          </w:rPr>
          <w:fldChar w:fldCharType="end"/>
        </w:r>
      </w:hyperlink>
    </w:p>
    <w:p w14:paraId="3EDFD5EA" w14:textId="01F52218"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1" w:history="1">
        <w:r w:rsidRPr="00116D0B">
          <w:rPr>
            <w:rStyle w:val="Hyperlink"/>
            <w:rFonts w:ascii="Garamond" w:hAnsi="Garamond"/>
            <w:noProof/>
            <w:sz w:val="24"/>
            <w:szCs w:val="24"/>
          </w:rPr>
          <w:t>Table 18: Various aspects of the CDP sessions as experienced by participants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_Toc166704041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30</w:t>
        </w:r>
        <w:r w:rsidRPr="00116D0B">
          <w:rPr>
            <w:rFonts w:ascii="Garamond" w:hAnsi="Garamond"/>
            <w:noProof/>
            <w:webHidden/>
            <w:sz w:val="24"/>
            <w:szCs w:val="24"/>
          </w:rPr>
          <w:fldChar w:fldCharType="end"/>
        </w:r>
      </w:hyperlink>
    </w:p>
    <w:p w14:paraId="2C1E49FA" w14:textId="0E5C8D9D"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2" w:history="1">
        <w:r w:rsidRPr="00116D0B">
          <w:rPr>
            <w:rStyle w:val="Hyperlink"/>
            <w:rFonts w:ascii="Garamond" w:hAnsi="Garamond"/>
            <w:noProof/>
            <w:sz w:val="24"/>
            <w:szCs w:val="24"/>
          </w:rPr>
          <w:t>Table 19: Limitations to participation in the CDP sessions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_Toc166704042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31</w:t>
        </w:r>
        <w:r w:rsidRPr="00116D0B">
          <w:rPr>
            <w:rFonts w:ascii="Garamond" w:hAnsi="Garamond"/>
            <w:noProof/>
            <w:webHidden/>
            <w:sz w:val="24"/>
            <w:szCs w:val="24"/>
          </w:rPr>
          <w:fldChar w:fldCharType="end"/>
        </w:r>
      </w:hyperlink>
    </w:p>
    <w:p w14:paraId="2108B8BD" w14:textId="3B3A0024"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3" w:history="1">
        <w:r w:rsidRPr="00116D0B">
          <w:rPr>
            <w:rStyle w:val="Hyperlink"/>
            <w:rFonts w:ascii="Garamond" w:hAnsi="Garamond"/>
            <w:noProof/>
            <w:sz w:val="24"/>
            <w:szCs w:val="24"/>
          </w:rPr>
          <w:t>Table 20: Level of satisfaction with the CDP session</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_Toc166704043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31</w:t>
        </w:r>
        <w:r w:rsidRPr="00116D0B">
          <w:rPr>
            <w:rFonts w:ascii="Garamond" w:hAnsi="Garamond"/>
            <w:noProof/>
            <w:webHidden/>
            <w:sz w:val="24"/>
            <w:szCs w:val="24"/>
          </w:rPr>
          <w:fldChar w:fldCharType="end"/>
        </w:r>
      </w:hyperlink>
    </w:p>
    <w:p w14:paraId="66A3F7FC" w14:textId="6CDDAA82"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4" w:history="1">
        <w:r w:rsidRPr="00116D0B">
          <w:rPr>
            <w:rStyle w:val="Hyperlink"/>
            <w:rFonts w:ascii="Garamond" w:hAnsi="Garamond"/>
            <w:noProof/>
            <w:sz w:val="24"/>
            <w:szCs w:val="24"/>
          </w:rPr>
          <w:t>Table 21: Percentage of respondents reporting feeling safe in the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_Toc166704044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32</w:t>
        </w:r>
        <w:r w:rsidRPr="00116D0B">
          <w:rPr>
            <w:rFonts w:ascii="Garamond" w:hAnsi="Garamond"/>
            <w:noProof/>
            <w:webHidden/>
            <w:sz w:val="24"/>
            <w:szCs w:val="24"/>
          </w:rPr>
          <w:fldChar w:fldCharType="end"/>
        </w:r>
      </w:hyperlink>
    </w:p>
    <w:p w14:paraId="3B6D69C5" w14:textId="6D2C3C4D"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5" w:history="1">
        <w:r w:rsidRPr="00116D0B">
          <w:rPr>
            <w:rStyle w:val="Hyperlink"/>
            <w:rFonts w:ascii="Garamond" w:hAnsi="Garamond"/>
            <w:noProof/>
            <w:sz w:val="24"/>
            <w:szCs w:val="24"/>
          </w:rPr>
          <w:t>Table 22: Reasons for feeling safe</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_Toc166704045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33</w:t>
        </w:r>
        <w:r w:rsidRPr="00116D0B">
          <w:rPr>
            <w:rFonts w:ascii="Garamond" w:hAnsi="Garamond"/>
            <w:noProof/>
            <w:webHidden/>
            <w:sz w:val="24"/>
            <w:szCs w:val="24"/>
          </w:rPr>
          <w:fldChar w:fldCharType="end"/>
        </w:r>
      </w:hyperlink>
    </w:p>
    <w:p w14:paraId="6F7F81A1" w14:textId="0FA385D1"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6" w:history="1">
        <w:r w:rsidRPr="00116D0B">
          <w:rPr>
            <w:rStyle w:val="Hyperlink"/>
            <w:rFonts w:ascii="Garamond" w:hAnsi="Garamond"/>
            <w:noProof/>
            <w:sz w:val="24"/>
            <w:szCs w:val="24"/>
          </w:rPr>
          <w:t>Table 23 Percieved reasons of feeling unsafe in the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_Toc166704046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34</w:t>
        </w:r>
        <w:r w:rsidRPr="00116D0B">
          <w:rPr>
            <w:rFonts w:ascii="Garamond" w:hAnsi="Garamond"/>
            <w:noProof/>
            <w:webHidden/>
            <w:sz w:val="24"/>
            <w:szCs w:val="24"/>
          </w:rPr>
          <w:fldChar w:fldCharType="end"/>
        </w:r>
      </w:hyperlink>
    </w:p>
    <w:p w14:paraId="099D003E" w14:textId="7230BCB0"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7" w:history="1">
        <w:r w:rsidRPr="00116D0B">
          <w:rPr>
            <w:rStyle w:val="Hyperlink"/>
            <w:rFonts w:ascii="Garamond" w:hAnsi="Garamond"/>
            <w:noProof/>
            <w:sz w:val="24"/>
            <w:szCs w:val="24"/>
          </w:rPr>
          <w:t>Table 24: Participation in decision making</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_Toc166704047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35</w:t>
        </w:r>
        <w:r w:rsidRPr="00116D0B">
          <w:rPr>
            <w:rFonts w:ascii="Garamond" w:hAnsi="Garamond"/>
            <w:noProof/>
            <w:webHidden/>
            <w:sz w:val="24"/>
            <w:szCs w:val="24"/>
          </w:rPr>
          <w:fldChar w:fldCharType="end"/>
        </w:r>
      </w:hyperlink>
    </w:p>
    <w:p w14:paraId="671EFCA6" w14:textId="2AC7E86E"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8" w:history="1">
        <w:r w:rsidRPr="00116D0B">
          <w:rPr>
            <w:rStyle w:val="Hyperlink"/>
            <w:rFonts w:ascii="Garamond" w:hAnsi="Garamond"/>
            <w:noProof/>
            <w:sz w:val="24"/>
            <w:szCs w:val="24"/>
          </w:rPr>
          <w:t>Table 25:  Do you think decisions made in relation to your community are in the interest of the whole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_Toc166704048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38</w:t>
        </w:r>
        <w:r w:rsidRPr="00116D0B">
          <w:rPr>
            <w:rFonts w:ascii="Garamond" w:hAnsi="Garamond"/>
            <w:noProof/>
            <w:webHidden/>
            <w:sz w:val="24"/>
            <w:szCs w:val="24"/>
          </w:rPr>
          <w:fldChar w:fldCharType="end"/>
        </w:r>
      </w:hyperlink>
    </w:p>
    <w:p w14:paraId="2ACF5A00" w14:textId="469316B8"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49" w:history="1">
        <w:r w:rsidRPr="00116D0B">
          <w:rPr>
            <w:rStyle w:val="Hyperlink"/>
            <w:rFonts w:ascii="Garamond" w:hAnsi="Garamond"/>
            <w:noProof/>
            <w:sz w:val="24"/>
            <w:szCs w:val="24"/>
          </w:rPr>
          <w:t>Table 26: Perception of confidence and trust in local government to make fair decisions and laws that are good for the people</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_Toc166704049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38</w:t>
        </w:r>
        <w:r w:rsidRPr="00116D0B">
          <w:rPr>
            <w:rFonts w:ascii="Garamond" w:hAnsi="Garamond"/>
            <w:noProof/>
            <w:webHidden/>
            <w:sz w:val="24"/>
            <w:szCs w:val="24"/>
          </w:rPr>
          <w:fldChar w:fldCharType="end"/>
        </w:r>
      </w:hyperlink>
    </w:p>
    <w:p w14:paraId="6FBC88D7" w14:textId="07201A99"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50" w:history="1">
        <w:r w:rsidRPr="00116D0B">
          <w:rPr>
            <w:rStyle w:val="Hyperlink"/>
            <w:rFonts w:ascii="Garamond" w:hAnsi="Garamond"/>
            <w:noProof/>
            <w:sz w:val="24"/>
            <w:szCs w:val="24"/>
          </w:rPr>
          <w:t>Table 27: What do you think could be done to make you feel you are part of your larger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_Toc166704050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39</w:t>
        </w:r>
        <w:r w:rsidRPr="00116D0B">
          <w:rPr>
            <w:rFonts w:ascii="Garamond" w:hAnsi="Garamond"/>
            <w:noProof/>
            <w:webHidden/>
            <w:sz w:val="24"/>
            <w:szCs w:val="24"/>
          </w:rPr>
          <w:fldChar w:fldCharType="end"/>
        </w:r>
      </w:hyperlink>
    </w:p>
    <w:p w14:paraId="2EDA8DF4" w14:textId="181CBEBF"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51" w:history="1">
        <w:r w:rsidRPr="00116D0B">
          <w:rPr>
            <w:rStyle w:val="Hyperlink"/>
            <w:rFonts w:ascii="Garamond" w:hAnsi="Garamond"/>
            <w:noProof/>
            <w:sz w:val="24"/>
            <w:szCs w:val="24"/>
          </w:rPr>
          <w:t>Table 28: Percentage of community members who find certain individuals or group challenging to interact with in the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_Toc166704051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40</w:t>
        </w:r>
        <w:r w:rsidRPr="00116D0B">
          <w:rPr>
            <w:rFonts w:ascii="Garamond" w:hAnsi="Garamond"/>
            <w:noProof/>
            <w:webHidden/>
            <w:sz w:val="24"/>
            <w:szCs w:val="24"/>
          </w:rPr>
          <w:fldChar w:fldCharType="end"/>
        </w:r>
      </w:hyperlink>
    </w:p>
    <w:p w14:paraId="11848835" w14:textId="695C61A7"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52" w:history="1">
        <w:r w:rsidRPr="00116D0B">
          <w:rPr>
            <w:rStyle w:val="Hyperlink"/>
            <w:rFonts w:ascii="Garamond" w:hAnsi="Garamond"/>
            <w:noProof/>
            <w:sz w:val="24"/>
            <w:szCs w:val="24"/>
          </w:rPr>
          <w:t>Table 29: Post CDP evaluation</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_Toc166704052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45</w:t>
        </w:r>
        <w:r w:rsidRPr="00116D0B">
          <w:rPr>
            <w:rFonts w:ascii="Garamond" w:hAnsi="Garamond"/>
            <w:noProof/>
            <w:webHidden/>
            <w:sz w:val="24"/>
            <w:szCs w:val="24"/>
          </w:rPr>
          <w:fldChar w:fldCharType="end"/>
        </w:r>
      </w:hyperlink>
    </w:p>
    <w:p w14:paraId="246A266F" w14:textId="771137EB"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53" w:history="1">
        <w:r w:rsidRPr="00116D0B">
          <w:rPr>
            <w:rStyle w:val="Hyperlink"/>
            <w:rFonts w:ascii="Garamond" w:hAnsi="Garamond"/>
            <w:noProof/>
            <w:sz w:val="24"/>
            <w:szCs w:val="24"/>
          </w:rPr>
          <w:t>Table 30: Influence of CDP on inclusion</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_Toc166704053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47</w:t>
        </w:r>
        <w:r w:rsidRPr="00116D0B">
          <w:rPr>
            <w:rFonts w:ascii="Garamond" w:hAnsi="Garamond"/>
            <w:noProof/>
            <w:webHidden/>
            <w:sz w:val="24"/>
            <w:szCs w:val="24"/>
          </w:rPr>
          <w:fldChar w:fldCharType="end"/>
        </w:r>
      </w:hyperlink>
    </w:p>
    <w:p w14:paraId="17512740" w14:textId="12950F4C"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4054" w:history="1">
        <w:r w:rsidRPr="00116D0B">
          <w:rPr>
            <w:rStyle w:val="Hyperlink"/>
            <w:rFonts w:ascii="Garamond" w:hAnsi="Garamond"/>
            <w:noProof/>
            <w:sz w:val="24"/>
            <w:szCs w:val="24"/>
          </w:rPr>
          <w:t>Table 31: Indicator Table</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_Toc166704054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49</w:t>
        </w:r>
        <w:r w:rsidRPr="00116D0B">
          <w:rPr>
            <w:rFonts w:ascii="Garamond" w:hAnsi="Garamond"/>
            <w:noProof/>
            <w:webHidden/>
            <w:sz w:val="24"/>
            <w:szCs w:val="24"/>
          </w:rPr>
          <w:fldChar w:fldCharType="end"/>
        </w:r>
      </w:hyperlink>
    </w:p>
    <w:p w14:paraId="7851F67C" w14:textId="6E44A52A" w:rsidR="00116D0B" w:rsidRPr="00116D0B" w:rsidRDefault="00116D0B" w:rsidP="00FC4420">
      <w:pPr>
        <w:pStyle w:val="Heading1"/>
      </w:pPr>
      <w:r w:rsidRPr="00116D0B">
        <w:lastRenderedPageBreak/>
        <w:fldChar w:fldCharType="end"/>
      </w:r>
      <w:bookmarkStart w:id="6" w:name="_Toc166775400"/>
      <w:r w:rsidRPr="00116D0B">
        <w:t>LIST OF FIGURES</w:t>
      </w:r>
      <w:bookmarkEnd w:id="6"/>
    </w:p>
    <w:p w14:paraId="40DDA079" w14:textId="0A263F2A"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r w:rsidRPr="00116D0B">
        <w:rPr>
          <w:rFonts w:ascii="Garamond" w:hAnsi="Garamond"/>
          <w:sz w:val="24"/>
          <w:szCs w:val="24"/>
        </w:rPr>
        <w:fldChar w:fldCharType="begin"/>
      </w:r>
      <w:r w:rsidRPr="00116D0B">
        <w:rPr>
          <w:rFonts w:ascii="Garamond" w:hAnsi="Garamond"/>
          <w:sz w:val="24"/>
          <w:szCs w:val="24"/>
        </w:rPr>
        <w:instrText xml:space="preserve"> TOC \h \z \c "Figure" </w:instrText>
      </w:r>
      <w:r w:rsidRPr="00116D0B">
        <w:rPr>
          <w:rFonts w:ascii="Garamond" w:hAnsi="Garamond"/>
          <w:sz w:val="24"/>
          <w:szCs w:val="24"/>
        </w:rPr>
        <w:fldChar w:fldCharType="separate"/>
      </w:r>
      <w:hyperlink w:anchor="_Toc166703490" w:history="1">
        <w:r w:rsidRPr="00116D0B">
          <w:rPr>
            <w:rStyle w:val="Hyperlink"/>
            <w:rFonts w:ascii="Garamond" w:hAnsi="Garamond"/>
            <w:noProof/>
            <w:sz w:val="24"/>
            <w:szCs w:val="24"/>
          </w:rPr>
          <w:t>Figure 1: Involvement in decision making</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_Toc166703490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25</w:t>
        </w:r>
        <w:r w:rsidRPr="00116D0B">
          <w:rPr>
            <w:rFonts w:ascii="Garamond" w:hAnsi="Garamond"/>
            <w:noProof/>
            <w:webHidden/>
            <w:sz w:val="24"/>
            <w:szCs w:val="24"/>
          </w:rPr>
          <w:fldChar w:fldCharType="end"/>
        </w:r>
      </w:hyperlink>
    </w:p>
    <w:p w14:paraId="11622816" w14:textId="45950EED"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1" w:history="1">
        <w:r w:rsidRPr="00116D0B">
          <w:rPr>
            <w:rStyle w:val="Hyperlink"/>
            <w:rFonts w:ascii="Garamond" w:hAnsi="Garamond"/>
            <w:noProof/>
            <w:sz w:val="24"/>
            <w:szCs w:val="24"/>
          </w:rPr>
          <w:t>Figure 2: Percentage of respondents reporting their view being considered in local decision making</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_Toc166703491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26</w:t>
        </w:r>
        <w:r w:rsidRPr="00116D0B">
          <w:rPr>
            <w:rFonts w:ascii="Garamond" w:hAnsi="Garamond"/>
            <w:noProof/>
            <w:webHidden/>
            <w:sz w:val="24"/>
            <w:szCs w:val="24"/>
          </w:rPr>
          <w:fldChar w:fldCharType="end"/>
        </w:r>
      </w:hyperlink>
    </w:p>
    <w:p w14:paraId="7DA89D91" w14:textId="01D85B6A"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2" w:history="1">
        <w:r w:rsidRPr="00116D0B">
          <w:rPr>
            <w:rStyle w:val="Hyperlink"/>
            <w:rFonts w:ascii="Garamond" w:hAnsi="Garamond"/>
            <w:noProof/>
            <w:sz w:val="24"/>
            <w:szCs w:val="24"/>
          </w:rPr>
          <w:t>Figure 3: Perception of influence, cooperation, and trust between community and local government</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_Toc166703492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29</w:t>
        </w:r>
        <w:r w:rsidRPr="00116D0B">
          <w:rPr>
            <w:rFonts w:ascii="Garamond" w:hAnsi="Garamond"/>
            <w:noProof/>
            <w:webHidden/>
            <w:sz w:val="24"/>
            <w:szCs w:val="24"/>
          </w:rPr>
          <w:fldChar w:fldCharType="end"/>
        </w:r>
      </w:hyperlink>
    </w:p>
    <w:p w14:paraId="48B1D21D" w14:textId="58020EB1"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3" w:history="1">
        <w:r w:rsidRPr="00116D0B">
          <w:rPr>
            <w:rStyle w:val="Hyperlink"/>
            <w:rFonts w:ascii="Garamond" w:hAnsi="Garamond"/>
            <w:noProof/>
            <w:sz w:val="24"/>
            <w:szCs w:val="24"/>
          </w:rPr>
          <w:t>Figure 4: perception of cooperation between the community and local government</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_Toc166703493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30</w:t>
        </w:r>
        <w:r w:rsidRPr="00116D0B">
          <w:rPr>
            <w:rFonts w:ascii="Garamond" w:hAnsi="Garamond"/>
            <w:noProof/>
            <w:webHidden/>
            <w:sz w:val="24"/>
            <w:szCs w:val="24"/>
          </w:rPr>
          <w:fldChar w:fldCharType="end"/>
        </w:r>
      </w:hyperlink>
    </w:p>
    <w:p w14:paraId="68D687E9" w14:textId="5EA0772B"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4" w:history="1">
        <w:r w:rsidRPr="00116D0B">
          <w:rPr>
            <w:rStyle w:val="Hyperlink"/>
            <w:rFonts w:ascii="Garamond" w:hAnsi="Garamond"/>
            <w:noProof/>
            <w:sz w:val="24"/>
            <w:szCs w:val="24"/>
          </w:rPr>
          <w:t>Figure 5: level of satisfaction with Local Government responsiveness to community needs</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_Toc166703494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31</w:t>
        </w:r>
        <w:r w:rsidRPr="00116D0B">
          <w:rPr>
            <w:rFonts w:ascii="Garamond" w:hAnsi="Garamond"/>
            <w:noProof/>
            <w:webHidden/>
            <w:sz w:val="24"/>
            <w:szCs w:val="24"/>
          </w:rPr>
          <w:fldChar w:fldCharType="end"/>
        </w:r>
      </w:hyperlink>
    </w:p>
    <w:p w14:paraId="0928ECA2" w14:textId="4B2D878C"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5" w:history="1">
        <w:r w:rsidRPr="00116D0B">
          <w:rPr>
            <w:rStyle w:val="Hyperlink"/>
            <w:rFonts w:ascii="Garamond" w:hAnsi="Garamond"/>
            <w:noProof/>
            <w:sz w:val="24"/>
            <w:szCs w:val="24"/>
          </w:rPr>
          <w:t>Figure 6: Percentage of respondents reporting positive relationship between community leaders and local government</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_Toc166703495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32</w:t>
        </w:r>
        <w:r w:rsidRPr="00116D0B">
          <w:rPr>
            <w:rFonts w:ascii="Garamond" w:hAnsi="Garamond"/>
            <w:noProof/>
            <w:webHidden/>
            <w:sz w:val="24"/>
            <w:szCs w:val="24"/>
          </w:rPr>
          <w:fldChar w:fldCharType="end"/>
        </w:r>
      </w:hyperlink>
    </w:p>
    <w:p w14:paraId="020AC76A" w14:textId="401FE1A1"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6" w:history="1">
        <w:r w:rsidRPr="00116D0B">
          <w:rPr>
            <w:rStyle w:val="Hyperlink"/>
            <w:rFonts w:ascii="Garamond" w:hAnsi="Garamond"/>
            <w:noProof/>
            <w:sz w:val="24"/>
            <w:szCs w:val="24"/>
          </w:rPr>
          <w:t>Figure 7: Perceptions regarding equal opportunities for participating in social, cultural, and political life in the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_Toc166703496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32</w:t>
        </w:r>
        <w:r w:rsidRPr="00116D0B">
          <w:rPr>
            <w:rFonts w:ascii="Garamond" w:hAnsi="Garamond"/>
            <w:noProof/>
            <w:webHidden/>
            <w:sz w:val="24"/>
            <w:szCs w:val="24"/>
          </w:rPr>
          <w:fldChar w:fldCharType="end"/>
        </w:r>
      </w:hyperlink>
    </w:p>
    <w:p w14:paraId="7290E8B3" w14:textId="0586AE2C"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7" w:history="1">
        <w:r w:rsidRPr="00116D0B">
          <w:rPr>
            <w:rStyle w:val="Hyperlink"/>
            <w:rFonts w:ascii="Garamond" w:hAnsi="Garamond"/>
            <w:noProof/>
            <w:sz w:val="24"/>
            <w:szCs w:val="24"/>
          </w:rPr>
          <w:t>Figure 8: Respondents perceptions of social relationships and interactions in the community</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_Toc166703497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33</w:t>
        </w:r>
        <w:r w:rsidRPr="00116D0B">
          <w:rPr>
            <w:rFonts w:ascii="Garamond" w:hAnsi="Garamond"/>
            <w:noProof/>
            <w:webHidden/>
            <w:sz w:val="24"/>
            <w:szCs w:val="24"/>
          </w:rPr>
          <w:fldChar w:fldCharType="end"/>
        </w:r>
      </w:hyperlink>
    </w:p>
    <w:p w14:paraId="3C3C07E7" w14:textId="33E18F37" w:rsidR="00116D0B" w:rsidRPr="00116D0B" w:rsidRDefault="00116D0B" w:rsidP="00997661">
      <w:pPr>
        <w:pStyle w:val="TableofFigures"/>
        <w:tabs>
          <w:tab w:val="right" w:leader="dot" w:pos="9790"/>
        </w:tabs>
        <w:spacing w:line="276" w:lineRule="auto"/>
        <w:rPr>
          <w:rFonts w:ascii="Garamond" w:eastAsiaTheme="minorEastAsia" w:hAnsi="Garamond" w:cstheme="minorBidi"/>
          <w:noProof/>
          <w:sz w:val="24"/>
          <w:szCs w:val="24"/>
        </w:rPr>
      </w:pPr>
      <w:hyperlink w:anchor="_Toc166703498" w:history="1">
        <w:r w:rsidRPr="00116D0B">
          <w:rPr>
            <w:rStyle w:val="Hyperlink"/>
            <w:rFonts w:ascii="Garamond" w:hAnsi="Garamond"/>
            <w:noProof/>
            <w:sz w:val="24"/>
            <w:szCs w:val="24"/>
          </w:rPr>
          <w:t>Figure 9: Respondents' perceptions regarding the extent to which their involvement in community development planning will bring about positive change</w:t>
        </w:r>
        <w:r w:rsidRPr="00116D0B">
          <w:rPr>
            <w:rFonts w:ascii="Garamond" w:hAnsi="Garamond"/>
            <w:noProof/>
            <w:webHidden/>
            <w:sz w:val="24"/>
            <w:szCs w:val="24"/>
          </w:rPr>
          <w:tab/>
        </w:r>
        <w:r w:rsidRPr="00116D0B">
          <w:rPr>
            <w:rFonts w:ascii="Garamond" w:hAnsi="Garamond"/>
            <w:noProof/>
            <w:webHidden/>
            <w:sz w:val="24"/>
            <w:szCs w:val="24"/>
          </w:rPr>
          <w:fldChar w:fldCharType="begin"/>
        </w:r>
        <w:r w:rsidRPr="00116D0B">
          <w:rPr>
            <w:rFonts w:ascii="Garamond" w:hAnsi="Garamond"/>
            <w:noProof/>
            <w:webHidden/>
            <w:sz w:val="24"/>
            <w:szCs w:val="24"/>
          </w:rPr>
          <w:instrText xml:space="preserve"> PAGEREF _Toc166703498 \h </w:instrText>
        </w:r>
        <w:r w:rsidRPr="00116D0B">
          <w:rPr>
            <w:rFonts w:ascii="Garamond" w:hAnsi="Garamond"/>
            <w:noProof/>
            <w:webHidden/>
            <w:sz w:val="24"/>
            <w:szCs w:val="24"/>
          </w:rPr>
        </w:r>
        <w:r w:rsidRPr="00116D0B">
          <w:rPr>
            <w:rFonts w:ascii="Garamond" w:hAnsi="Garamond"/>
            <w:noProof/>
            <w:webHidden/>
            <w:sz w:val="24"/>
            <w:szCs w:val="24"/>
          </w:rPr>
          <w:fldChar w:fldCharType="separate"/>
        </w:r>
        <w:r w:rsidRPr="00116D0B">
          <w:rPr>
            <w:rFonts w:ascii="Garamond" w:hAnsi="Garamond"/>
            <w:noProof/>
            <w:webHidden/>
            <w:sz w:val="24"/>
            <w:szCs w:val="24"/>
          </w:rPr>
          <w:t>35</w:t>
        </w:r>
        <w:r w:rsidRPr="00116D0B">
          <w:rPr>
            <w:rFonts w:ascii="Garamond" w:hAnsi="Garamond"/>
            <w:noProof/>
            <w:webHidden/>
            <w:sz w:val="24"/>
            <w:szCs w:val="24"/>
          </w:rPr>
          <w:fldChar w:fldCharType="end"/>
        </w:r>
      </w:hyperlink>
    </w:p>
    <w:p w14:paraId="67E91204" w14:textId="3670CC83" w:rsidR="0073762A" w:rsidRPr="00116D0B" w:rsidRDefault="00116D0B" w:rsidP="00997661">
      <w:pPr>
        <w:spacing w:line="276" w:lineRule="auto"/>
        <w:rPr>
          <w:rFonts w:ascii="Garamond" w:hAnsi="Garamond"/>
          <w:sz w:val="24"/>
          <w:szCs w:val="24"/>
        </w:rPr>
      </w:pPr>
      <w:r w:rsidRPr="00116D0B">
        <w:rPr>
          <w:rFonts w:ascii="Garamond" w:hAnsi="Garamond"/>
          <w:sz w:val="24"/>
          <w:szCs w:val="24"/>
        </w:rPr>
        <w:fldChar w:fldCharType="end"/>
      </w:r>
    </w:p>
    <w:p w14:paraId="3960DCD5" w14:textId="77777777" w:rsidR="0073762A" w:rsidRPr="00116D0B" w:rsidRDefault="0073762A" w:rsidP="0073762A">
      <w:pPr>
        <w:rPr>
          <w:rFonts w:ascii="Garamond" w:hAnsi="Garamond"/>
          <w:sz w:val="24"/>
          <w:szCs w:val="24"/>
        </w:rPr>
      </w:pPr>
    </w:p>
    <w:p w14:paraId="7C0C41D2" w14:textId="77777777" w:rsidR="00116D0B" w:rsidRPr="00116D0B" w:rsidRDefault="00116D0B">
      <w:pPr>
        <w:rPr>
          <w:rFonts w:ascii="Garamond" w:hAnsi="Garamond"/>
          <w:b/>
          <w:bCs/>
          <w:color w:val="92D050"/>
          <w:sz w:val="24"/>
          <w:szCs w:val="24"/>
        </w:rPr>
      </w:pPr>
      <w:r w:rsidRPr="00116D0B">
        <w:rPr>
          <w:rFonts w:ascii="Garamond" w:hAnsi="Garamond"/>
          <w:sz w:val="24"/>
          <w:szCs w:val="24"/>
        </w:rPr>
        <w:br w:type="page"/>
      </w:r>
    </w:p>
    <w:p w14:paraId="2DF1F92F" w14:textId="77777777" w:rsidR="00116D0B" w:rsidRPr="00116D0B" w:rsidRDefault="00116D0B" w:rsidP="00116D0B">
      <w:pPr>
        <w:pStyle w:val="Heading1"/>
      </w:pPr>
      <w:bookmarkStart w:id="7" w:name="_Toc164184077"/>
      <w:bookmarkStart w:id="8" w:name="_Toc166775401"/>
      <w:r w:rsidRPr="00116D0B">
        <w:lastRenderedPageBreak/>
        <w:t>GLOSSARY ACRONYM AND ABBREVIATIONS</w:t>
      </w:r>
      <w:bookmarkEnd w:id="7"/>
      <w:bookmarkEnd w:id="8"/>
    </w:p>
    <w:tbl>
      <w:tblPr>
        <w:tblStyle w:val="TableGridLight3"/>
        <w:tblW w:w="5000" w:type="pct"/>
        <w:tblLook w:val="04A0" w:firstRow="1" w:lastRow="0" w:firstColumn="1" w:lastColumn="0" w:noHBand="0" w:noVBand="1"/>
      </w:tblPr>
      <w:tblGrid>
        <w:gridCol w:w="2201"/>
        <w:gridCol w:w="7589"/>
      </w:tblGrid>
      <w:tr w:rsidR="00116D0B" w:rsidRPr="00116D0B" w14:paraId="71F74CDC" w14:textId="77777777" w:rsidTr="00116D0B">
        <w:trPr>
          <w:trHeight w:val="368"/>
        </w:trPr>
        <w:tc>
          <w:tcPr>
            <w:tcW w:w="1124" w:type="pct"/>
            <w:shd w:val="clear" w:color="auto" w:fill="70AD47"/>
            <w:hideMark/>
          </w:tcPr>
          <w:p w14:paraId="36F15232" w14:textId="77777777" w:rsidR="00116D0B" w:rsidRPr="00116D0B" w:rsidRDefault="00116D0B" w:rsidP="00116D0B">
            <w:pPr>
              <w:spacing w:after="160" w:line="259" w:lineRule="auto"/>
              <w:jc w:val="both"/>
              <w:rPr>
                <w:rFonts w:ascii="Garamond" w:eastAsia="Calibri" w:hAnsi="Garamond" w:cs="Times New Roman"/>
                <w:b/>
                <w:bCs/>
                <w:color w:val="FFFFFF"/>
                <w:sz w:val="24"/>
                <w:szCs w:val="24"/>
              </w:rPr>
            </w:pPr>
            <w:r w:rsidRPr="00116D0B">
              <w:rPr>
                <w:rFonts w:ascii="Garamond" w:eastAsia="Calibri" w:hAnsi="Garamond" w:cs="Times New Roman"/>
                <w:b/>
                <w:bCs/>
                <w:color w:val="FFFFFF"/>
                <w:sz w:val="24"/>
                <w:szCs w:val="24"/>
              </w:rPr>
              <w:t>ABBREVIATION</w:t>
            </w:r>
          </w:p>
        </w:tc>
        <w:tc>
          <w:tcPr>
            <w:tcW w:w="3876" w:type="pct"/>
            <w:shd w:val="clear" w:color="auto" w:fill="70AD47"/>
            <w:hideMark/>
          </w:tcPr>
          <w:p w14:paraId="62EB2500" w14:textId="77777777" w:rsidR="00116D0B" w:rsidRPr="00116D0B" w:rsidRDefault="00116D0B" w:rsidP="00116D0B">
            <w:pPr>
              <w:spacing w:after="160" w:line="259" w:lineRule="auto"/>
              <w:jc w:val="both"/>
              <w:rPr>
                <w:rFonts w:ascii="Garamond" w:eastAsia="Calibri" w:hAnsi="Garamond" w:cs="Times New Roman"/>
                <w:b/>
                <w:bCs/>
                <w:color w:val="FFFFFF"/>
                <w:sz w:val="24"/>
                <w:szCs w:val="24"/>
              </w:rPr>
            </w:pPr>
            <w:r w:rsidRPr="00116D0B">
              <w:rPr>
                <w:rFonts w:ascii="Garamond" w:eastAsia="Calibri" w:hAnsi="Garamond" w:cs="Times New Roman"/>
                <w:b/>
                <w:bCs/>
                <w:color w:val="FFFFFF"/>
                <w:sz w:val="24"/>
                <w:szCs w:val="24"/>
              </w:rPr>
              <w:t>MEANING</w:t>
            </w:r>
          </w:p>
        </w:tc>
      </w:tr>
      <w:tr w:rsidR="00116D0B" w:rsidRPr="00116D0B" w14:paraId="5EBDFF25" w14:textId="77777777" w:rsidTr="00116D0B">
        <w:trPr>
          <w:trHeight w:val="440"/>
        </w:trPr>
        <w:tc>
          <w:tcPr>
            <w:tcW w:w="1124" w:type="pct"/>
          </w:tcPr>
          <w:p w14:paraId="374C8849" w14:textId="77777777" w:rsidR="00116D0B" w:rsidRPr="00116D0B" w:rsidRDefault="00116D0B" w:rsidP="00116D0B">
            <w:pPr>
              <w:jc w:val="both"/>
              <w:rPr>
                <w:rFonts w:ascii="Garamond" w:eastAsia="Calibri" w:hAnsi="Garamond" w:cs="Times New Roman"/>
                <w:sz w:val="24"/>
                <w:szCs w:val="24"/>
              </w:rPr>
            </w:pPr>
            <w:r w:rsidRPr="00116D0B">
              <w:rPr>
                <w:rFonts w:ascii="Garamond" w:eastAsia="Calibri" w:hAnsi="Garamond" w:cs="Times New Roman"/>
                <w:sz w:val="24"/>
                <w:szCs w:val="24"/>
              </w:rPr>
              <w:t>BH</w:t>
            </w:r>
          </w:p>
        </w:tc>
        <w:tc>
          <w:tcPr>
            <w:tcW w:w="3876" w:type="pct"/>
          </w:tcPr>
          <w:p w14:paraId="0E1535CF" w14:textId="77777777" w:rsidR="00116D0B" w:rsidRPr="00116D0B" w:rsidRDefault="00116D0B" w:rsidP="00116D0B">
            <w:pPr>
              <w:jc w:val="both"/>
              <w:rPr>
                <w:rFonts w:ascii="Garamond" w:eastAsia="Calibri" w:hAnsi="Garamond" w:cs="Times New Roman"/>
                <w:sz w:val="24"/>
                <w:szCs w:val="24"/>
              </w:rPr>
            </w:pPr>
            <w:r w:rsidRPr="00116D0B">
              <w:rPr>
                <w:rFonts w:ascii="Garamond" w:eastAsia="Calibri" w:hAnsi="Garamond" w:cs="Times New Roman"/>
                <w:sz w:val="24"/>
                <w:szCs w:val="24"/>
              </w:rPr>
              <w:t>Boko Haram</w:t>
            </w:r>
          </w:p>
        </w:tc>
      </w:tr>
      <w:tr w:rsidR="00116D0B" w:rsidRPr="00116D0B" w14:paraId="714C22C7" w14:textId="77777777" w:rsidTr="00116D0B">
        <w:tc>
          <w:tcPr>
            <w:tcW w:w="1124" w:type="pct"/>
            <w:hideMark/>
          </w:tcPr>
          <w:p w14:paraId="39F20A14"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BMZ</w:t>
            </w:r>
          </w:p>
        </w:tc>
        <w:tc>
          <w:tcPr>
            <w:tcW w:w="3876" w:type="pct"/>
            <w:hideMark/>
          </w:tcPr>
          <w:p w14:paraId="157980BA"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German Federal Ministry for Economic Cooperation and Development</w:t>
            </w:r>
          </w:p>
        </w:tc>
      </w:tr>
      <w:tr w:rsidR="00116D0B" w:rsidRPr="00116D0B" w14:paraId="7308C56A" w14:textId="77777777" w:rsidTr="00116D0B">
        <w:tc>
          <w:tcPr>
            <w:tcW w:w="1124" w:type="pct"/>
            <w:hideMark/>
          </w:tcPr>
          <w:p w14:paraId="10DF29E0"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CAP</w:t>
            </w:r>
          </w:p>
        </w:tc>
        <w:tc>
          <w:tcPr>
            <w:tcW w:w="3876" w:type="pct"/>
            <w:hideMark/>
          </w:tcPr>
          <w:p w14:paraId="5C563A55"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Costed Action Plan</w:t>
            </w:r>
          </w:p>
        </w:tc>
      </w:tr>
      <w:tr w:rsidR="00116D0B" w:rsidRPr="00116D0B" w14:paraId="77FF24B9" w14:textId="77777777" w:rsidTr="00116D0B">
        <w:tc>
          <w:tcPr>
            <w:tcW w:w="1124" w:type="pct"/>
            <w:hideMark/>
          </w:tcPr>
          <w:p w14:paraId="328A5AFC"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CDP</w:t>
            </w:r>
          </w:p>
        </w:tc>
        <w:tc>
          <w:tcPr>
            <w:tcW w:w="3876" w:type="pct"/>
            <w:hideMark/>
          </w:tcPr>
          <w:p w14:paraId="00D1498C"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Community Development Plan</w:t>
            </w:r>
          </w:p>
        </w:tc>
      </w:tr>
      <w:tr w:rsidR="00116D0B" w:rsidRPr="00116D0B" w14:paraId="73DDA08C" w14:textId="77777777" w:rsidTr="00116D0B">
        <w:tc>
          <w:tcPr>
            <w:tcW w:w="1124" w:type="pct"/>
          </w:tcPr>
          <w:p w14:paraId="7F0F2A66" w14:textId="73E5B0D3" w:rsidR="00116D0B" w:rsidRPr="00116D0B" w:rsidRDefault="004343E3" w:rsidP="00116D0B">
            <w:pPr>
              <w:spacing w:after="160" w:line="259" w:lineRule="auto"/>
              <w:jc w:val="both"/>
              <w:rPr>
                <w:rFonts w:ascii="Garamond" w:eastAsia="Calibri" w:hAnsi="Garamond" w:cs="Times New Roman"/>
                <w:sz w:val="24"/>
                <w:szCs w:val="24"/>
              </w:rPr>
            </w:pPr>
            <w:r>
              <w:rPr>
                <w:rFonts w:ascii="Garamond" w:eastAsia="Calibri" w:hAnsi="Garamond" w:cs="Times New Roman"/>
                <w:sz w:val="24"/>
                <w:szCs w:val="24"/>
              </w:rPr>
              <w:t>CEPAD</w:t>
            </w:r>
          </w:p>
        </w:tc>
        <w:tc>
          <w:tcPr>
            <w:tcW w:w="3876" w:type="pct"/>
          </w:tcPr>
          <w:p w14:paraId="03DA96F3" w14:textId="04BC1B7E" w:rsidR="00116D0B" w:rsidRPr="00116D0B" w:rsidRDefault="004343E3" w:rsidP="00116D0B">
            <w:pPr>
              <w:spacing w:after="160" w:line="259" w:lineRule="auto"/>
              <w:jc w:val="both"/>
              <w:rPr>
                <w:rFonts w:ascii="Garamond" w:eastAsia="Calibri" w:hAnsi="Garamond" w:cs="Times New Roman"/>
                <w:sz w:val="24"/>
                <w:szCs w:val="24"/>
              </w:rPr>
            </w:pPr>
            <w:r w:rsidRPr="004343E3">
              <w:rPr>
                <w:rFonts w:ascii="Garamond" w:eastAsia="Calibri" w:hAnsi="Garamond" w:cs="Times New Roman"/>
                <w:sz w:val="24"/>
                <w:szCs w:val="24"/>
              </w:rPr>
              <w:t>Center for Public Education and Mobilization for Development in Nigeria</w:t>
            </w:r>
          </w:p>
        </w:tc>
      </w:tr>
      <w:tr w:rsidR="00116D0B" w:rsidRPr="00116D0B" w14:paraId="64C2E0B1" w14:textId="77777777" w:rsidTr="00116D0B">
        <w:tc>
          <w:tcPr>
            <w:tcW w:w="1124" w:type="pct"/>
            <w:hideMark/>
          </w:tcPr>
          <w:p w14:paraId="1230B523"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CEPP</w:t>
            </w:r>
          </w:p>
        </w:tc>
        <w:tc>
          <w:tcPr>
            <w:tcW w:w="3876" w:type="pct"/>
            <w:hideMark/>
          </w:tcPr>
          <w:p w14:paraId="71A1BC54"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Citizen Engagement and Participatory Planning</w:t>
            </w:r>
          </w:p>
        </w:tc>
      </w:tr>
      <w:tr w:rsidR="004343E3" w:rsidRPr="00116D0B" w14:paraId="01315632" w14:textId="77777777" w:rsidTr="00116D0B">
        <w:tc>
          <w:tcPr>
            <w:tcW w:w="1124" w:type="pct"/>
          </w:tcPr>
          <w:p w14:paraId="742C2416" w14:textId="48E9D158" w:rsidR="004343E3" w:rsidRPr="00116D0B" w:rsidRDefault="004343E3" w:rsidP="00116D0B">
            <w:pPr>
              <w:spacing w:after="160" w:line="259" w:lineRule="auto"/>
              <w:jc w:val="both"/>
              <w:rPr>
                <w:rFonts w:ascii="Garamond" w:eastAsia="Calibri" w:hAnsi="Garamond" w:cs="Times New Roman"/>
                <w:sz w:val="24"/>
                <w:szCs w:val="24"/>
              </w:rPr>
            </w:pPr>
            <w:r>
              <w:rPr>
                <w:rFonts w:ascii="Garamond" w:eastAsia="Calibri" w:hAnsi="Garamond" w:cs="Times New Roman"/>
                <w:sz w:val="24"/>
                <w:szCs w:val="24"/>
              </w:rPr>
              <w:t>CRUDAN</w:t>
            </w:r>
          </w:p>
        </w:tc>
        <w:tc>
          <w:tcPr>
            <w:tcW w:w="3876" w:type="pct"/>
          </w:tcPr>
          <w:p w14:paraId="5C714A04" w14:textId="04819F9A" w:rsidR="004343E3" w:rsidRPr="00116D0B" w:rsidRDefault="004343E3"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Christian Rural and Urban Development Association of Nigeria</w:t>
            </w:r>
          </w:p>
        </w:tc>
      </w:tr>
      <w:tr w:rsidR="00116D0B" w:rsidRPr="00116D0B" w14:paraId="33B6F3B8" w14:textId="77777777" w:rsidTr="00116D0B">
        <w:tc>
          <w:tcPr>
            <w:tcW w:w="1124" w:type="pct"/>
            <w:hideMark/>
          </w:tcPr>
          <w:p w14:paraId="2332E202"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FGD</w:t>
            </w:r>
          </w:p>
        </w:tc>
        <w:tc>
          <w:tcPr>
            <w:tcW w:w="3876" w:type="pct"/>
            <w:hideMark/>
          </w:tcPr>
          <w:p w14:paraId="72153C4B"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Focus Group Discussion</w:t>
            </w:r>
          </w:p>
        </w:tc>
      </w:tr>
      <w:tr w:rsidR="004343E3" w:rsidRPr="00116D0B" w14:paraId="01B62FBD" w14:textId="77777777" w:rsidTr="004343E3">
        <w:trPr>
          <w:trHeight w:val="206"/>
        </w:trPr>
        <w:tc>
          <w:tcPr>
            <w:tcW w:w="1124" w:type="pct"/>
          </w:tcPr>
          <w:p w14:paraId="59BD7344" w14:textId="33C641E4" w:rsidR="004343E3" w:rsidRPr="00116D0B" w:rsidRDefault="004343E3" w:rsidP="00116D0B">
            <w:pPr>
              <w:spacing w:after="160" w:line="259" w:lineRule="auto"/>
              <w:jc w:val="both"/>
              <w:rPr>
                <w:rFonts w:ascii="Garamond" w:eastAsia="Calibri" w:hAnsi="Garamond" w:cs="Times New Roman"/>
                <w:sz w:val="24"/>
                <w:szCs w:val="24"/>
              </w:rPr>
            </w:pPr>
            <w:r>
              <w:rPr>
                <w:rFonts w:ascii="Garamond" w:eastAsia="Calibri" w:hAnsi="Garamond" w:cs="Times New Roman"/>
                <w:sz w:val="24"/>
                <w:szCs w:val="24"/>
              </w:rPr>
              <w:t>GIZ</w:t>
            </w:r>
          </w:p>
        </w:tc>
        <w:tc>
          <w:tcPr>
            <w:tcW w:w="3876" w:type="pct"/>
          </w:tcPr>
          <w:p w14:paraId="53FBE612" w14:textId="151A63A0" w:rsidR="004343E3" w:rsidRPr="00116D0B" w:rsidRDefault="004343E3" w:rsidP="00116D0B">
            <w:pPr>
              <w:spacing w:after="160" w:line="259" w:lineRule="auto"/>
              <w:jc w:val="both"/>
              <w:rPr>
                <w:rFonts w:ascii="Garamond" w:eastAsia="Calibri" w:hAnsi="Garamond" w:cs="Times New Roman"/>
                <w:sz w:val="24"/>
                <w:szCs w:val="24"/>
              </w:rPr>
            </w:pPr>
            <w:r w:rsidRPr="004343E3">
              <w:rPr>
                <w:rFonts w:ascii="Garamond" w:eastAsia="Calibri" w:hAnsi="Garamond" w:cs="Times New Roman"/>
                <w:sz w:val="24"/>
                <w:szCs w:val="24"/>
              </w:rPr>
              <w:t>Gesellschaft für Internationale Zusammenarbeit</w:t>
            </w:r>
          </w:p>
        </w:tc>
      </w:tr>
      <w:tr w:rsidR="00116D0B" w:rsidRPr="00116D0B" w14:paraId="37BED1EF" w14:textId="77777777" w:rsidTr="00116D0B">
        <w:tc>
          <w:tcPr>
            <w:tcW w:w="1124" w:type="pct"/>
            <w:hideMark/>
          </w:tcPr>
          <w:p w14:paraId="0CB0B808"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HHS</w:t>
            </w:r>
          </w:p>
        </w:tc>
        <w:tc>
          <w:tcPr>
            <w:tcW w:w="3876" w:type="pct"/>
            <w:hideMark/>
          </w:tcPr>
          <w:p w14:paraId="7290CABE"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Household Survey</w:t>
            </w:r>
          </w:p>
        </w:tc>
      </w:tr>
      <w:tr w:rsidR="00116D0B" w:rsidRPr="00116D0B" w14:paraId="464A647B" w14:textId="77777777" w:rsidTr="00116D0B">
        <w:tc>
          <w:tcPr>
            <w:tcW w:w="1124" w:type="pct"/>
            <w:hideMark/>
          </w:tcPr>
          <w:p w14:paraId="2E88A1DB"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IDP</w:t>
            </w:r>
          </w:p>
        </w:tc>
        <w:tc>
          <w:tcPr>
            <w:tcW w:w="3876" w:type="pct"/>
            <w:hideMark/>
          </w:tcPr>
          <w:p w14:paraId="4AB614D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Internally Displaced Persons</w:t>
            </w:r>
          </w:p>
        </w:tc>
      </w:tr>
      <w:tr w:rsidR="00116D0B" w:rsidRPr="00116D0B" w14:paraId="7710C0A9" w14:textId="77777777" w:rsidTr="00116D0B">
        <w:tc>
          <w:tcPr>
            <w:tcW w:w="1124" w:type="pct"/>
            <w:hideMark/>
          </w:tcPr>
          <w:p w14:paraId="2EFD9D80"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IPSAS</w:t>
            </w:r>
          </w:p>
        </w:tc>
        <w:tc>
          <w:tcPr>
            <w:tcW w:w="3876" w:type="pct"/>
            <w:hideMark/>
          </w:tcPr>
          <w:p w14:paraId="528FF0AB"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International Public Sector Accounting Standards</w:t>
            </w:r>
          </w:p>
        </w:tc>
      </w:tr>
      <w:tr w:rsidR="00116D0B" w:rsidRPr="00116D0B" w14:paraId="33608AB7" w14:textId="77777777" w:rsidTr="00116D0B">
        <w:tc>
          <w:tcPr>
            <w:tcW w:w="1124" w:type="pct"/>
            <w:hideMark/>
          </w:tcPr>
          <w:p w14:paraId="58BC0CDA"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KII</w:t>
            </w:r>
          </w:p>
        </w:tc>
        <w:tc>
          <w:tcPr>
            <w:tcW w:w="3876" w:type="pct"/>
            <w:hideMark/>
          </w:tcPr>
          <w:p w14:paraId="4145F1F8"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Key Informant Interview</w:t>
            </w:r>
          </w:p>
        </w:tc>
      </w:tr>
      <w:tr w:rsidR="00116D0B" w:rsidRPr="00116D0B" w14:paraId="5F89C770" w14:textId="77777777" w:rsidTr="00116D0B">
        <w:tc>
          <w:tcPr>
            <w:tcW w:w="1124" w:type="pct"/>
            <w:hideMark/>
          </w:tcPr>
          <w:p w14:paraId="19B65D3C"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LGA</w:t>
            </w:r>
          </w:p>
        </w:tc>
        <w:tc>
          <w:tcPr>
            <w:tcW w:w="3876" w:type="pct"/>
            <w:hideMark/>
          </w:tcPr>
          <w:p w14:paraId="0423769B"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Local Government Area</w:t>
            </w:r>
          </w:p>
        </w:tc>
      </w:tr>
      <w:tr w:rsidR="00116D0B" w:rsidRPr="00116D0B" w14:paraId="7E7412C3" w14:textId="77777777" w:rsidTr="00116D0B">
        <w:tc>
          <w:tcPr>
            <w:tcW w:w="1124" w:type="pct"/>
            <w:hideMark/>
          </w:tcPr>
          <w:p w14:paraId="43B4F731"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M&amp;E</w:t>
            </w:r>
          </w:p>
        </w:tc>
        <w:tc>
          <w:tcPr>
            <w:tcW w:w="3876" w:type="pct"/>
            <w:hideMark/>
          </w:tcPr>
          <w:p w14:paraId="107BF509"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Monitoring and Evaluation</w:t>
            </w:r>
          </w:p>
        </w:tc>
      </w:tr>
      <w:tr w:rsidR="00116D0B" w:rsidRPr="00116D0B" w14:paraId="1E9795CA" w14:textId="77777777" w:rsidTr="00116D0B">
        <w:tc>
          <w:tcPr>
            <w:tcW w:w="1124" w:type="pct"/>
            <w:hideMark/>
          </w:tcPr>
          <w:p w14:paraId="4600C165" w14:textId="77777777" w:rsidR="00116D0B" w:rsidRPr="00116D0B" w:rsidRDefault="00116D0B" w:rsidP="00116D0B">
            <w:pPr>
              <w:spacing w:after="160" w:line="259" w:lineRule="auto"/>
              <w:jc w:val="both"/>
              <w:rPr>
                <w:rFonts w:ascii="Garamond" w:eastAsia="Calibri" w:hAnsi="Garamond" w:cs="Times New Roman"/>
                <w:sz w:val="24"/>
                <w:szCs w:val="24"/>
              </w:rPr>
            </w:pPr>
            <w:proofErr w:type="spellStart"/>
            <w:r w:rsidRPr="00116D0B">
              <w:rPr>
                <w:rFonts w:ascii="Garamond" w:eastAsia="Calibri" w:hAnsi="Garamond" w:cs="Times New Roman"/>
                <w:sz w:val="24"/>
                <w:szCs w:val="24"/>
              </w:rPr>
              <w:t>MoLG</w:t>
            </w:r>
            <w:proofErr w:type="spellEnd"/>
          </w:p>
        </w:tc>
        <w:tc>
          <w:tcPr>
            <w:tcW w:w="3876" w:type="pct"/>
            <w:hideMark/>
          </w:tcPr>
          <w:p w14:paraId="2608119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Ministry for Local Government Affairs</w:t>
            </w:r>
          </w:p>
        </w:tc>
      </w:tr>
      <w:tr w:rsidR="00116D0B" w:rsidRPr="00116D0B" w14:paraId="659DB19D" w14:textId="77777777" w:rsidTr="00116D0B">
        <w:tc>
          <w:tcPr>
            <w:tcW w:w="1124" w:type="pct"/>
            <w:hideMark/>
          </w:tcPr>
          <w:p w14:paraId="385A283F"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NGO</w:t>
            </w:r>
          </w:p>
        </w:tc>
        <w:tc>
          <w:tcPr>
            <w:tcW w:w="3876" w:type="pct"/>
            <w:hideMark/>
          </w:tcPr>
          <w:p w14:paraId="75C6C5C3"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Non-Governmental Organization</w:t>
            </w:r>
          </w:p>
        </w:tc>
      </w:tr>
      <w:tr w:rsidR="00116D0B" w:rsidRPr="00116D0B" w14:paraId="5E440D9A" w14:textId="77777777" w:rsidTr="00116D0B">
        <w:tc>
          <w:tcPr>
            <w:tcW w:w="1124" w:type="pct"/>
            <w:hideMark/>
          </w:tcPr>
          <w:p w14:paraId="6DB3C3E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OECD</w:t>
            </w:r>
          </w:p>
        </w:tc>
        <w:tc>
          <w:tcPr>
            <w:tcW w:w="3876" w:type="pct"/>
            <w:hideMark/>
          </w:tcPr>
          <w:p w14:paraId="246F560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Organization for Economic Co-operation and Development</w:t>
            </w:r>
          </w:p>
        </w:tc>
      </w:tr>
      <w:tr w:rsidR="00116D0B" w:rsidRPr="00116D0B" w14:paraId="141543F3" w14:textId="77777777" w:rsidTr="00116D0B">
        <w:tc>
          <w:tcPr>
            <w:tcW w:w="1124" w:type="pct"/>
            <w:hideMark/>
          </w:tcPr>
          <w:p w14:paraId="73CABC96"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PCNI</w:t>
            </w:r>
          </w:p>
        </w:tc>
        <w:tc>
          <w:tcPr>
            <w:tcW w:w="3876" w:type="pct"/>
            <w:hideMark/>
          </w:tcPr>
          <w:p w14:paraId="43B1B90F"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Presidential Committee on North East Initiatives</w:t>
            </w:r>
          </w:p>
        </w:tc>
      </w:tr>
      <w:tr w:rsidR="00116D0B" w:rsidRPr="00116D0B" w14:paraId="179C5711" w14:textId="77777777" w:rsidTr="00116D0B">
        <w:tc>
          <w:tcPr>
            <w:tcW w:w="1124" w:type="pct"/>
            <w:hideMark/>
          </w:tcPr>
          <w:p w14:paraId="0EDC9068"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PLWDS</w:t>
            </w:r>
          </w:p>
        </w:tc>
        <w:tc>
          <w:tcPr>
            <w:tcW w:w="3876" w:type="pct"/>
            <w:hideMark/>
          </w:tcPr>
          <w:p w14:paraId="3E9C9210"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People Living With Disabilities</w:t>
            </w:r>
          </w:p>
        </w:tc>
      </w:tr>
      <w:tr w:rsidR="00116D0B" w:rsidRPr="00116D0B" w14:paraId="3CC63828" w14:textId="77777777" w:rsidTr="00116D0B">
        <w:tc>
          <w:tcPr>
            <w:tcW w:w="1124" w:type="pct"/>
            <w:hideMark/>
          </w:tcPr>
          <w:p w14:paraId="63C4E630"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PWDs</w:t>
            </w:r>
          </w:p>
        </w:tc>
        <w:tc>
          <w:tcPr>
            <w:tcW w:w="3876" w:type="pct"/>
            <w:hideMark/>
          </w:tcPr>
          <w:p w14:paraId="13BFB66D"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Persons with Disabilities</w:t>
            </w:r>
          </w:p>
        </w:tc>
      </w:tr>
      <w:tr w:rsidR="00116D0B" w:rsidRPr="00116D0B" w14:paraId="5D334533" w14:textId="77777777" w:rsidTr="00116D0B">
        <w:tc>
          <w:tcPr>
            <w:tcW w:w="1124" w:type="pct"/>
            <w:hideMark/>
          </w:tcPr>
          <w:p w14:paraId="1B65381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WASH</w:t>
            </w:r>
          </w:p>
        </w:tc>
        <w:tc>
          <w:tcPr>
            <w:tcW w:w="3876" w:type="pct"/>
            <w:hideMark/>
          </w:tcPr>
          <w:p w14:paraId="152590DE"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Water, Sanitation, and Hygiene</w:t>
            </w:r>
          </w:p>
        </w:tc>
      </w:tr>
      <w:tr w:rsidR="00116D0B" w:rsidRPr="00116D0B" w14:paraId="2A466C52" w14:textId="77777777" w:rsidTr="00116D0B">
        <w:tc>
          <w:tcPr>
            <w:tcW w:w="1124" w:type="pct"/>
            <w:hideMark/>
          </w:tcPr>
          <w:p w14:paraId="12F2AA58"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WDCC</w:t>
            </w:r>
          </w:p>
        </w:tc>
        <w:tc>
          <w:tcPr>
            <w:tcW w:w="3876" w:type="pct"/>
            <w:hideMark/>
          </w:tcPr>
          <w:p w14:paraId="027DAC44"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Ward Development Coordinating Committee</w:t>
            </w:r>
          </w:p>
        </w:tc>
      </w:tr>
      <w:tr w:rsidR="00116D0B" w:rsidRPr="00116D0B" w14:paraId="2C5845A5" w14:textId="77777777" w:rsidTr="00116D0B">
        <w:tc>
          <w:tcPr>
            <w:tcW w:w="1124" w:type="pct"/>
            <w:hideMark/>
          </w:tcPr>
          <w:p w14:paraId="6AB6416F"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WDSC</w:t>
            </w:r>
          </w:p>
        </w:tc>
        <w:tc>
          <w:tcPr>
            <w:tcW w:w="3876" w:type="pct"/>
            <w:hideMark/>
          </w:tcPr>
          <w:p w14:paraId="6CF92047" w14:textId="77777777" w:rsidR="00116D0B" w:rsidRPr="00116D0B" w:rsidRDefault="00116D0B" w:rsidP="00116D0B">
            <w:pPr>
              <w:spacing w:after="160" w:line="259" w:lineRule="auto"/>
              <w:jc w:val="both"/>
              <w:rPr>
                <w:rFonts w:ascii="Garamond" w:eastAsia="Calibri" w:hAnsi="Garamond" w:cs="Times New Roman"/>
                <w:sz w:val="24"/>
                <w:szCs w:val="24"/>
              </w:rPr>
            </w:pPr>
            <w:r w:rsidRPr="00116D0B">
              <w:rPr>
                <w:rFonts w:ascii="Garamond" w:eastAsia="Calibri" w:hAnsi="Garamond" w:cs="Times New Roman"/>
                <w:sz w:val="24"/>
                <w:szCs w:val="24"/>
              </w:rPr>
              <w:t>Ward Development Support Committee</w:t>
            </w:r>
          </w:p>
        </w:tc>
      </w:tr>
    </w:tbl>
    <w:p w14:paraId="12548D56" w14:textId="77777777" w:rsidR="00116D0B" w:rsidRPr="00116D0B" w:rsidRDefault="00116D0B">
      <w:pPr>
        <w:rPr>
          <w:rFonts w:ascii="Garamond" w:hAnsi="Garamond"/>
          <w:b/>
          <w:bCs/>
          <w:color w:val="92D050"/>
          <w:sz w:val="24"/>
          <w:szCs w:val="24"/>
        </w:rPr>
      </w:pPr>
      <w:r w:rsidRPr="00116D0B">
        <w:rPr>
          <w:rFonts w:ascii="Garamond" w:hAnsi="Garamond"/>
          <w:sz w:val="24"/>
          <w:szCs w:val="24"/>
        </w:rPr>
        <w:br w:type="page"/>
      </w:r>
    </w:p>
    <w:p w14:paraId="78B9101B" w14:textId="77777777" w:rsidR="00116D0B" w:rsidRPr="00116D0B" w:rsidRDefault="00116D0B" w:rsidP="00116D0B">
      <w:pPr>
        <w:pStyle w:val="Heading1"/>
      </w:pPr>
      <w:bookmarkStart w:id="9" w:name="_Toc166775402"/>
      <w:r w:rsidRPr="00116D0B">
        <w:lastRenderedPageBreak/>
        <w:t>EXECUTIVE SUMMARY</w:t>
      </w:r>
      <w:bookmarkEnd w:id="9"/>
    </w:p>
    <w:p w14:paraId="6EABDCFC"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Background and context</w:t>
      </w:r>
    </w:p>
    <w:p w14:paraId="52498F14"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Oxfam in Nigeria, an international NGO working to achieve a Nigeria without inequality and poverty, where every voice counts, has launched an innovative 8-month intervention in Adamawa State. The goal was to improve citizens’ participation in governance and strengthen social cohesion through inclusive and participatory community development planning across 16 wards of Michika Local Government Area (LGA) in Adamawa State. The project, titled “Improving Social Cohesion and Participatory Planning Through Community Development Planning (CDP) in 16 Wards of Michika LGA, Adamawa State,” was funded by the German Federal Ministry for Economic Cooperation and Development (BMZ). This funding was part of their commitment to improving the socio-economic participation of Internally Displaced Persons (IDPs), Returnees, Host Communities, and other vulnerable groups in Northeast Nigeria. The project was implemented in partnership with Christian Rural and Urban Development Association of Nigeria (CRUDAN) and Center for Public Education and Mobilization for Development in Nigeria (CEPAD). This report presents the findings of the endline evaluation of this project. </w:t>
      </w:r>
    </w:p>
    <w:p w14:paraId="6B02E2E1"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main objective of this project was to increase citizen participation and strengthen social cohesion through the delivery of community driven development interventions in 16 wards of Michika LGA in Adamawa State. The specific objectives were: </w:t>
      </w:r>
    </w:p>
    <w:p w14:paraId="68C6D22A" w14:textId="77777777" w:rsidR="00116D0B" w:rsidRPr="00116D0B" w:rsidRDefault="00116D0B" w:rsidP="00116D0B">
      <w:pPr>
        <w:widowControl/>
        <w:numPr>
          <w:ilvl w:val="0"/>
          <w:numId w:val="34"/>
        </w:numPr>
        <w:autoSpaceDE/>
        <w:autoSpaceDN/>
        <w:spacing w:after="160" w:line="259"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 xml:space="preserve">To improve participatory engagement and planning between local communities and government stakeholders towards improved socio-economic outcomes of communities </w:t>
      </w:r>
    </w:p>
    <w:p w14:paraId="2E797BFC" w14:textId="77777777" w:rsidR="00116D0B" w:rsidRPr="00116D0B" w:rsidRDefault="00116D0B" w:rsidP="00116D0B">
      <w:pPr>
        <w:widowControl/>
        <w:numPr>
          <w:ilvl w:val="0"/>
          <w:numId w:val="34"/>
        </w:numPr>
        <w:autoSpaceDE/>
        <w:autoSpaceDN/>
        <w:spacing w:after="160" w:line="259"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 xml:space="preserve">To strengthen social cohesion through capacity building of stakeholders on inclusive planning, implementation, and monitoring of community development plans. </w:t>
      </w:r>
    </w:p>
    <w:p w14:paraId="05964D84" w14:textId="77777777" w:rsidR="00116D0B" w:rsidRPr="00116D0B" w:rsidRDefault="00116D0B" w:rsidP="00116D0B">
      <w:pPr>
        <w:widowControl/>
        <w:numPr>
          <w:ilvl w:val="0"/>
          <w:numId w:val="34"/>
        </w:numPr>
        <w:autoSpaceDE/>
        <w:autoSpaceDN/>
        <w:spacing w:after="160" w:line="259"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 xml:space="preserve">To Strengthen community participation and cohesion platforms </w:t>
      </w:r>
    </w:p>
    <w:p w14:paraId="722861B2" w14:textId="669F0A52"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Approach and Methodology: </w:t>
      </w:r>
      <w:r w:rsidRPr="00116D0B">
        <w:rPr>
          <w:rFonts w:ascii="Garamond" w:eastAsia="Calibri" w:hAnsi="Garamond" w:cs="Times New Roman"/>
          <w:sz w:val="24"/>
          <w:szCs w:val="24"/>
        </w:rPr>
        <w:t xml:space="preserve">The endline evaluation covered eight (8) wards of Michika LGA in Adamawa State. The study targeted a diverse range of individuals and groups within the wards, with the aim of </w:t>
      </w:r>
      <w:r w:rsidR="002629FE">
        <w:rPr>
          <w:rFonts w:ascii="Garamond" w:eastAsia="Calibri" w:hAnsi="Garamond" w:cs="Times New Roman"/>
          <w:sz w:val="24"/>
          <w:szCs w:val="24"/>
        </w:rPr>
        <w:t>m</w:t>
      </w:r>
      <w:r w:rsidRPr="00116D0B">
        <w:rPr>
          <w:rFonts w:ascii="Garamond" w:eastAsia="Calibri" w:hAnsi="Garamond" w:cs="Times New Roman"/>
          <w:sz w:val="24"/>
          <w:szCs w:val="24"/>
        </w:rPr>
        <w:t>easur</w:t>
      </w:r>
      <w:r w:rsidR="002629FE">
        <w:rPr>
          <w:rFonts w:ascii="Garamond" w:eastAsia="Calibri" w:hAnsi="Garamond" w:cs="Times New Roman"/>
          <w:sz w:val="24"/>
          <w:szCs w:val="24"/>
        </w:rPr>
        <w:t>ing</w:t>
      </w:r>
      <w:r w:rsidRPr="00116D0B">
        <w:rPr>
          <w:rFonts w:ascii="Garamond" w:eastAsia="Calibri" w:hAnsi="Garamond" w:cs="Times New Roman"/>
          <w:sz w:val="24"/>
          <w:szCs w:val="24"/>
        </w:rPr>
        <w:t xml:space="preserve"> the outcome and effectiveness of the intervention in achieving the set goals to enhance strengthened social cohesion and engendering inclusive and participatory development planning in the Michika LGA. The evaluation employed a mixed-methods approach, combining qualitative and quantitative data collection methods. A desk review was conducted, examining key project strategies and documents, including the project proposal, </w:t>
      </w:r>
      <w:r w:rsidR="00997661" w:rsidRPr="00116D0B">
        <w:rPr>
          <w:rFonts w:ascii="Garamond" w:eastAsia="Calibri" w:hAnsi="Garamond" w:cs="Times New Roman"/>
          <w:sz w:val="24"/>
          <w:szCs w:val="24"/>
        </w:rPr>
        <w:t>log frame</w:t>
      </w:r>
      <w:r w:rsidRPr="00116D0B">
        <w:rPr>
          <w:rFonts w:ascii="Garamond" w:eastAsia="Calibri" w:hAnsi="Garamond" w:cs="Times New Roman"/>
          <w:sz w:val="24"/>
          <w:szCs w:val="24"/>
        </w:rPr>
        <w:t>, as well as other relevant project documents. Qualitative data collection involved Key Informant Interviews (KIIs) with project implementing partners, local government representatives, traditional, religious and community leaders, as well</w:t>
      </w:r>
      <w:r w:rsidR="002629FE">
        <w:rPr>
          <w:rFonts w:ascii="Garamond" w:eastAsia="Calibri" w:hAnsi="Garamond" w:cs="Times New Roman"/>
          <w:sz w:val="24"/>
          <w:szCs w:val="24"/>
        </w:rPr>
        <w:t xml:space="preserve"> as</w:t>
      </w:r>
      <w:r w:rsidRPr="00116D0B">
        <w:rPr>
          <w:rFonts w:ascii="Garamond" w:eastAsia="Calibri" w:hAnsi="Garamond" w:cs="Times New Roman"/>
          <w:sz w:val="24"/>
          <w:szCs w:val="24"/>
        </w:rPr>
        <w:t xml:space="preserve"> community members. Additionally, Focus Group Discussions (FGDs) were conducted involving</w:t>
      </w:r>
      <w:r w:rsidR="002629FE">
        <w:rPr>
          <w:rFonts w:ascii="Garamond" w:eastAsia="Calibri" w:hAnsi="Garamond" w:cs="Times New Roman"/>
          <w:sz w:val="24"/>
          <w:szCs w:val="24"/>
        </w:rPr>
        <w:t>,</w:t>
      </w:r>
      <w:r w:rsidRPr="00116D0B">
        <w:rPr>
          <w:rFonts w:ascii="Garamond" w:eastAsia="Calibri" w:hAnsi="Garamond" w:cs="Times New Roman"/>
          <w:sz w:val="24"/>
          <w:szCs w:val="24"/>
        </w:rPr>
        <w:t xml:space="preserve"> both men and women groups and mixed groups of men and women. Overall, a total number of 24 FGDs and 22 KIIs were conducted. For quantitative data</w:t>
      </w:r>
      <w:r w:rsidR="002629FE">
        <w:rPr>
          <w:rFonts w:ascii="Garamond" w:eastAsia="Calibri" w:hAnsi="Garamond" w:cs="Times New Roman"/>
          <w:sz w:val="24"/>
          <w:szCs w:val="24"/>
        </w:rPr>
        <w:t xml:space="preserve"> collection</w:t>
      </w:r>
      <w:r w:rsidRPr="00116D0B">
        <w:rPr>
          <w:rFonts w:ascii="Garamond" w:eastAsia="Calibri" w:hAnsi="Garamond" w:cs="Times New Roman"/>
          <w:sz w:val="24"/>
          <w:szCs w:val="24"/>
        </w:rPr>
        <w:t>, structured questionnaires were administered to 415 respondents across the 8 wards utilizing a two-stage stratified-cluster sampling method.</w:t>
      </w:r>
    </w:p>
    <w:p w14:paraId="0C213F6A" w14:textId="77777777" w:rsidR="004343E3" w:rsidRDefault="004343E3" w:rsidP="00116D0B">
      <w:pPr>
        <w:widowControl/>
        <w:autoSpaceDE/>
        <w:autoSpaceDN/>
        <w:spacing w:after="160" w:line="259" w:lineRule="auto"/>
        <w:rPr>
          <w:rFonts w:ascii="Garamond" w:eastAsia="Calibri" w:hAnsi="Garamond" w:cs="Times New Roman"/>
          <w:b/>
          <w:sz w:val="24"/>
          <w:szCs w:val="24"/>
        </w:rPr>
      </w:pPr>
    </w:p>
    <w:p w14:paraId="3FA96F66" w14:textId="77777777" w:rsidR="004343E3" w:rsidRDefault="004343E3" w:rsidP="00116D0B">
      <w:pPr>
        <w:widowControl/>
        <w:autoSpaceDE/>
        <w:autoSpaceDN/>
        <w:spacing w:after="160" w:line="259" w:lineRule="auto"/>
        <w:rPr>
          <w:rFonts w:ascii="Garamond" w:eastAsia="Calibri" w:hAnsi="Garamond" w:cs="Times New Roman"/>
          <w:b/>
          <w:sz w:val="24"/>
          <w:szCs w:val="24"/>
        </w:rPr>
      </w:pPr>
    </w:p>
    <w:p w14:paraId="1238D1F8" w14:textId="595C294E" w:rsidR="00116D0B" w:rsidRPr="00116D0B" w:rsidRDefault="00116D0B" w:rsidP="00116D0B">
      <w:pPr>
        <w:widowControl/>
        <w:autoSpaceDE/>
        <w:autoSpaceDN/>
        <w:spacing w:after="160" w:line="259" w:lineRule="auto"/>
        <w:rPr>
          <w:rFonts w:ascii="Garamond" w:eastAsia="Calibri" w:hAnsi="Garamond" w:cs="Times New Roman"/>
          <w:b/>
          <w:sz w:val="24"/>
          <w:szCs w:val="24"/>
        </w:rPr>
      </w:pPr>
      <w:r w:rsidRPr="00116D0B">
        <w:rPr>
          <w:rFonts w:ascii="Garamond" w:eastAsia="Calibri" w:hAnsi="Garamond" w:cs="Times New Roman"/>
          <w:b/>
          <w:sz w:val="24"/>
          <w:szCs w:val="24"/>
        </w:rPr>
        <w:lastRenderedPageBreak/>
        <w:t>Project Indicator Table</w:t>
      </w:r>
    </w:p>
    <w:tbl>
      <w:tblPr>
        <w:tblStyle w:val="PlainTable111"/>
        <w:tblpPr w:leftFromText="180" w:rightFromText="180" w:vertAnchor="page" w:horzAnchor="margin" w:tblpXSpec="center" w:tblpY="1982"/>
        <w:tblW w:w="10525" w:type="dxa"/>
        <w:tblLook w:val="04A0" w:firstRow="1" w:lastRow="0" w:firstColumn="1" w:lastColumn="0" w:noHBand="0" w:noVBand="1"/>
      </w:tblPr>
      <w:tblGrid>
        <w:gridCol w:w="2568"/>
        <w:gridCol w:w="4162"/>
        <w:gridCol w:w="1614"/>
        <w:gridCol w:w="1011"/>
        <w:gridCol w:w="1170"/>
      </w:tblGrid>
      <w:tr w:rsidR="00116D0B" w:rsidRPr="00116D0B" w14:paraId="3AE0CDA7" w14:textId="77777777" w:rsidTr="00C27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shd w:val="clear" w:color="auto" w:fill="70AD47"/>
            <w:hideMark/>
          </w:tcPr>
          <w:p w14:paraId="28DBC494" w14:textId="77777777" w:rsidR="00116D0B" w:rsidRPr="00116D0B" w:rsidRDefault="00116D0B" w:rsidP="00116D0B">
            <w:pPr>
              <w:jc w:val="both"/>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Thematic Area</w:t>
            </w:r>
          </w:p>
        </w:tc>
        <w:tc>
          <w:tcPr>
            <w:tcW w:w="4162" w:type="dxa"/>
            <w:shd w:val="clear" w:color="auto" w:fill="70AD47"/>
            <w:hideMark/>
          </w:tcPr>
          <w:p w14:paraId="12111F0F" w14:textId="77777777" w:rsidR="00116D0B" w:rsidRPr="00116D0B" w:rsidRDefault="00116D0B" w:rsidP="00116D0B">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Indicator</w:t>
            </w:r>
          </w:p>
        </w:tc>
        <w:tc>
          <w:tcPr>
            <w:tcW w:w="1614" w:type="dxa"/>
            <w:shd w:val="clear" w:color="auto" w:fill="70AD47"/>
            <w:hideMark/>
          </w:tcPr>
          <w:p w14:paraId="35E14C41" w14:textId="77777777" w:rsidR="00116D0B" w:rsidRPr="00116D0B" w:rsidRDefault="00116D0B" w:rsidP="00116D0B">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Baseline Measurement</w:t>
            </w:r>
          </w:p>
        </w:tc>
        <w:tc>
          <w:tcPr>
            <w:tcW w:w="1011" w:type="dxa"/>
            <w:shd w:val="clear" w:color="auto" w:fill="70AD47"/>
          </w:tcPr>
          <w:p w14:paraId="1F37303C" w14:textId="77777777" w:rsidR="00116D0B" w:rsidRPr="00116D0B" w:rsidRDefault="00116D0B" w:rsidP="00116D0B">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 xml:space="preserve">Targets </w:t>
            </w:r>
          </w:p>
        </w:tc>
        <w:tc>
          <w:tcPr>
            <w:tcW w:w="1170" w:type="dxa"/>
            <w:shd w:val="clear" w:color="auto" w:fill="70AD47"/>
          </w:tcPr>
          <w:p w14:paraId="23422060" w14:textId="77777777" w:rsidR="00116D0B" w:rsidRPr="00116D0B" w:rsidRDefault="00116D0B" w:rsidP="00116D0B">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Achieved</w:t>
            </w:r>
          </w:p>
        </w:tc>
      </w:tr>
      <w:tr w:rsidR="00C27173" w:rsidRPr="00116D0B" w14:paraId="7AE56711" w14:textId="77777777" w:rsidTr="00C2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vMerge w:val="restart"/>
            <w:hideMark/>
          </w:tcPr>
          <w:p w14:paraId="5D3E6425" w14:textId="141F1032" w:rsidR="00C27173" w:rsidRPr="00116D0B" w:rsidRDefault="00C27173" w:rsidP="00997661">
            <w:pPr>
              <w:rPr>
                <w:rFonts w:ascii="Garamond" w:eastAsia="Calibri" w:hAnsi="Garamond" w:cs="Times New Roman"/>
                <w:sz w:val="24"/>
                <w:szCs w:val="24"/>
              </w:rPr>
            </w:pPr>
            <w:r w:rsidRPr="00116D0B">
              <w:rPr>
                <w:rFonts w:ascii="Garamond" w:eastAsia="Calibri" w:hAnsi="Garamond" w:cs="Times New Roman"/>
                <w:sz w:val="24"/>
                <w:szCs w:val="24"/>
              </w:rPr>
              <w:t>To improve participatory engagement and planning</w:t>
            </w:r>
            <w:r>
              <w:rPr>
                <w:rFonts w:ascii="Garamond" w:eastAsia="Calibri" w:hAnsi="Garamond" w:cs="Times New Roman"/>
                <w:sz w:val="24"/>
                <w:szCs w:val="24"/>
              </w:rPr>
              <w:t xml:space="preserve"> </w:t>
            </w:r>
            <w:r w:rsidRPr="00116D0B">
              <w:rPr>
                <w:rFonts w:ascii="Garamond" w:eastAsia="Calibri" w:hAnsi="Garamond" w:cs="Times New Roman"/>
                <w:sz w:val="24"/>
                <w:szCs w:val="24"/>
              </w:rPr>
              <w:t>between local communities and government stakeholders</w:t>
            </w:r>
          </w:p>
        </w:tc>
        <w:tc>
          <w:tcPr>
            <w:tcW w:w="4162" w:type="dxa"/>
            <w:hideMark/>
          </w:tcPr>
          <w:p w14:paraId="3D94CF89"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CDP priority needs captured and implemented through the state budget at the LGA.</w:t>
            </w:r>
          </w:p>
        </w:tc>
        <w:tc>
          <w:tcPr>
            <w:tcW w:w="1614" w:type="dxa"/>
            <w:hideMark/>
          </w:tcPr>
          <w:p w14:paraId="10EA8A6C"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10CD07EF"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46</w:t>
            </w:r>
          </w:p>
        </w:tc>
        <w:tc>
          <w:tcPr>
            <w:tcW w:w="1170" w:type="dxa"/>
            <w:tcBorders>
              <w:top w:val="single" w:sz="8" w:space="0" w:color="FFFFFF"/>
              <w:left w:val="single" w:sz="8" w:space="0" w:color="FFFFFF"/>
              <w:bottom w:val="single" w:sz="24" w:space="0" w:color="FFFFFF"/>
              <w:right w:val="single" w:sz="8" w:space="0" w:color="FFFFFF"/>
            </w:tcBorders>
            <w:shd w:val="clear" w:color="auto" w:fill="EDEDED"/>
          </w:tcPr>
          <w:p w14:paraId="24B6263B" w14:textId="77777777" w:rsidR="00C27173" w:rsidRPr="00116D0B" w:rsidRDefault="00C27173" w:rsidP="00116D0B">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29</w:t>
            </w:r>
          </w:p>
        </w:tc>
      </w:tr>
      <w:tr w:rsidR="00C27173" w:rsidRPr="00116D0B" w14:paraId="23028F7E" w14:textId="77777777" w:rsidTr="00C27173">
        <w:tc>
          <w:tcPr>
            <w:cnfStyle w:val="001000000000" w:firstRow="0" w:lastRow="0" w:firstColumn="1" w:lastColumn="0" w:oddVBand="0" w:evenVBand="0" w:oddHBand="0" w:evenHBand="0" w:firstRowFirstColumn="0" w:firstRowLastColumn="0" w:lastRowFirstColumn="0" w:lastRowLastColumn="0"/>
            <w:tcW w:w="2568" w:type="dxa"/>
            <w:vMerge/>
            <w:hideMark/>
          </w:tcPr>
          <w:p w14:paraId="4DAFFBE0" w14:textId="2323B2DE" w:rsidR="00C27173" w:rsidRPr="00116D0B" w:rsidRDefault="00C27173" w:rsidP="00997661">
            <w:pPr>
              <w:rPr>
                <w:rFonts w:ascii="Garamond" w:eastAsia="Calibri" w:hAnsi="Garamond" w:cs="Times New Roman"/>
                <w:sz w:val="24"/>
                <w:szCs w:val="24"/>
              </w:rPr>
            </w:pPr>
          </w:p>
        </w:tc>
        <w:tc>
          <w:tcPr>
            <w:tcW w:w="4162" w:type="dxa"/>
            <w:hideMark/>
          </w:tcPr>
          <w:p w14:paraId="735E8E39"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participants in community development planning processes who confirmed that their viewpoints have been considered in local decision-making processes.</w:t>
            </w:r>
          </w:p>
        </w:tc>
        <w:tc>
          <w:tcPr>
            <w:tcW w:w="1614" w:type="dxa"/>
            <w:hideMark/>
          </w:tcPr>
          <w:p w14:paraId="0D831659"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44% Overall [28%F; 57%M]</w:t>
            </w:r>
          </w:p>
        </w:tc>
        <w:tc>
          <w:tcPr>
            <w:tcW w:w="1011" w:type="dxa"/>
          </w:tcPr>
          <w:p w14:paraId="78FD0EB3"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50%</w:t>
            </w:r>
          </w:p>
        </w:tc>
        <w:tc>
          <w:tcPr>
            <w:tcW w:w="1170" w:type="dxa"/>
            <w:tcBorders>
              <w:top w:val="single" w:sz="24" w:space="0" w:color="FFFFFF"/>
              <w:left w:val="single" w:sz="8" w:space="0" w:color="FFFFFF"/>
              <w:bottom w:val="single" w:sz="8" w:space="0" w:color="FFFFFF"/>
              <w:right w:val="single" w:sz="8" w:space="0" w:color="FFFFFF"/>
            </w:tcBorders>
            <w:shd w:val="clear" w:color="auto" w:fill="D1DFCE"/>
          </w:tcPr>
          <w:p w14:paraId="1F29D5FA" w14:textId="77777777" w:rsidR="00C27173" w:rsidRPr="00116D0B" w:rsidRDefault="00C27173" w:rsidP="00116D0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80.8%</w:t>
            </w:r>
            <w:r w:rsidRPr="00116D0B">
              <w:rPr>
                <w:rFonts w:ascii="Garamond" w:eastAsia="Times New Roman" w:hAnsi="Garamond" w:cs="Calibri"/>
                <w:bCs/>
                <w:kern w:val="24"/>
                <w:sz w:val="24"/>
                <w:szCs w:val="24"/>
              </w:rPr>
              <w:br/>
              <w:t>[83.3%F; 78.9%M</w:t>
            </w:r>
            <w:r w:rsidRPr="00116D0B">
              <w:rPr>
                <w:rFonts w:ascii="Garamond" w:eastAsia="Times New Roman" w:hAnsi="Garamond" w:cs="Calibri"/>
                <w:kern w:val="24"/>
                <w:sz w:val="24"/>
                <w:szCs w:val="24"/>
              </w:rPr>
              <w:t>]</w:t>
            </w:r>
          </w:p>
        </w:tc>
      </w:tr>
      <w:tr w:rsidR="00C27173" w:rsidRPr="00116D0B" w14:paraId="3F8FE269" w14:textId="77777777" w:rsidTr="00C2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vMerge w:val="restart"/>
            <w:hideMark/>
          </w:tcPr>
          <w:p w14:paraId="3447AD0A" w14:textId="2068E687" w:rsidR="00C27173" w:rsidRPr="00116D0B" w:rsidRDefault="00C27173" w:rsidP="00997661">
            <w:pPr>
              <w:rPr>
                <w:rFonts w:ascii="Garamond" w:eastAsia="Calibri" w:hAnsi="Garamond" w:cs="Times New Roman"/>
                <w:sz w:val="24"/>
                <w:szCs w:val="24"/>
              </w:rPr>
            </w:pPr>
            <w:r w:rsidRPr="00116D0B">
              <w:rPr>
                <w:rFonts w:ascii="Garamond" w:eastAsia="Calibri" w:hAnsi="Garamond" w:cs="Times New Roman"/>
                <w:sz w:val="24"/>
                <w:szCs w:val="24"/>
              </w:rPr>
              <w:t>To strengthen social cohesion</w:t>
            </w:r>
            <w:r>
              <w:rPr>
                <w:rFonts w:ascii="Garamond" w:eastAsia="Calibri" w:hAnsi="Garamond" w:cs="Times New Roman"/>
                <w:sz w:val="24"/>
                <w:szCs w:val="24"/>
              </w:rPr>
              <w:t xml:space="preserve"> </w:t>
            </w:r>
            <w:r w:rsidRPr="00116D0B">
              <w:rPr>
                <w:rFonts w:ascii="Garamond" w:eastAsia="Calibri" w:hAnsi="Garamond" w:cs="Times New Roman"/>
                <w:sz w:val="24"/>
                <w:szCs w:val="24"/>
              </w:rPr>
              <w:t>through capacity building of stakeholders on inclusive   and monitoring of community development plans planning, implementation</w:t>
            </w:r>
          </w:p>
        </w:tc>
        <w:tc>
          <w:tcPr>
            <w:tcW w:w="4162" w:type="dxa"/>
            <w:hideMark/>
          </w:tcPr>
          <w:p w14:paraId="3CC6316C"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stakeholders who participated in local governance activities and agree that their local government is better meeting their needs using the CDPs developed (disaggregated by gender/age/location)</w:t>
            </w:r>
          </w:p>
        </w:tc>
        <w:tc>
          <w:tcPr>
            <w:tcW w:w="1614" w:type="dxa"/>
            <w:hideMark/>
          </w:tcPr>
          <w:p w14:paraId="1A62DF71"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12% Overall [9%F; 14%M]</w:t>
            </w:r>
          </w:p>
        </w:tc>
        <w:tc>
          <w:tcPr>
            <w:tcW w:w="1011" w:type="dxa"/>
          </w:tcPr>
          <w:p w14:paraId="5E22B868"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50%</w:t>
            </w:r>
          </w:p>
        </w:tc>
        <w:tc>
          <w:tcPr>
            <w:tcW w:w="1170" w:type="dxa"/>
            <w:tcBorders>
              <w:top w:val="single" w:sz="8" w:space="0" w:color="FFFFFF"/>
              <w:left w:val="single" w:sz="8" w:space="0" w:color="FFFFFF"/>
              <w:bottom w:val="single" w:sz="8" w:space="0" w:color="FFFFFF"/>
              <w:right w:val="single" w:sz="8" w:space="0" w:color="FFFFFF"/>
            </w:tcBorders>
            <w:shd w:val="clear" w:color="auto" w:fill="E9F0E8"/>
          </w:tcPr>
          <w:p w14:paraId="75095D1F" w14:textId="77777777" w:rsidR="00C27173" w:rsidRPr="00116D0B" w:rsidRDefault="00C27173" w:rsidP="00116D0B">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68%</w:t>
            </w:r>
          </w:p>
          <w:p w14:paraId="03466B52" w14:textId="77777777" w:rsidR="00C27173" w:rsidRPr="00116D0B" w:rsidRDefault="00C27173" w:rsidP="00116D0B">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[69.1%F; 67%M</w:t>
            </w:r>
            <w:r w:rsidRPr="00116D0B">
              <w:rPr>
                <w:rFonts w:ascii="Garamond" w:eastAsia="Times New Roman" w:hAnsi="Garamond" w:cs="Calibri"/>
                <w:kern w:val="24"/>
                <w:sz w:val="24"/>
                <w:szCs w:val="24"/>
              </w:rPr>
              <w:t>]</w:t>
            </w:r>
          </w:p>
        </w:tc>
      </w:tr>
      <w:tr w:rsidR="00C27173" w:rsidRPr="00116D0B" w14:paraId="5CAA2B3B" w14:textId="77777777" w:rsidTr="00C27173">
        <w:tc>
          <w:tcPr>
            <w:cnfStyle w:val="001000000000" w:firstRow="0" w:lastRow="0" w:firstColumn="1" w:lastColumn="0" w:oddVBand="0" w:evenVBand="0" w:oddHBand="0" w:evenHBand="0" w:firstRowFirstColumn="0" w:firstRowLastColumn="0" w:lastRowFirstColumn="0" w:lastRowLastColumn="0"/>
            <w:tcW w:w="2568" w:type="dxa"/>
            <w:vMerge/>
            <w:hideMark/>
          </w:tcPr>
          <w:p w14:paraId="0DEDA3C7" w14:textId="21CBD363" w:rsidR="00C27173" w:rsidRPr="00116D0B" w:rsidRDefault="00C27173" w:rsidP="00997661">
            <w:pPr>
              <w:rPr>
                <w:rFonts w:ascii="Garamond" w:eastAsia="Calibri" w:hAnsi="Garamond" w:cs="Times New Roman"/>
                <w:sz w:val="24"/>
                <w:szCs w:val="24"/>
              </w:rPr>
            </w:pPr>
          </w:p>
        </w:tc>
        <w:tc>
          <w:tcPr>
            <w:tcW w:w="4162" w:type="dxa"/>
            <w:hideMark/>
          </w:tcPr>
          <w:p w14:paraId="70B0B44D"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participants involved in measures/initiatives to foster cohesion who confirmed that the quality of their social relations with other community representatives has improved</w:t>
            </w:r>
          </w:p>
        </w:tc>
        <w:tc>
          <w:tcPr>
            <w:tcW w:w="1614" w:type="dxa"/>
            <w:hideMark/>
          </w:tcPr>
          <w:p w14:paraId="4601D1DA"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33% Overall [29%F; 37%M]</w:t>
            </w:r>
          </w:p>
        </w:tc>
        <w:tc>
          <w:tcPr>
            <w:tcW w:w="1011" w:type="dxa"/>
          </w:tcPr>
          <w:p w14:paraId="4EDC76FB"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70%</w:t>
            </w:r>
          </w:p>
        </w:tc>
        <w:tc>
          <w:tcPr>
            <w:tcW w:w="1170" w:type="dxa"/>
            <w:tcBorders>
              <w:top w:val="single" w:sz="8" w:space="0" w:color="FFFFFF"/>
              <w:left w:val="single" w:sz="8" w:space="0" w:color="FFFFFF"/>
              <w:bottom w:val="single" w:sz="8" w:space="0" w:color="FFFFFF"/>
              <w:right w:val="single" w:sz="8" w:space="0" w:color="FFFFFF"/>
            </w:tcBorders>
            <w:shd w:val="clear" w:color="auto" w:fill="D1DFCE"/>
          </w:tcPr>
          <w:p w14:paraId="7ACD4C67" w14:textId="77777777" w:rsidR="00C27173" w:rsidRPr="00116D0B" w:rsidRDefault="00C27173" w:rsidP="00116D0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79%</w:t>
            </w:r>
          </w:p>
          <w:p w14:paraId="30F907BA" w14:textId="77777777" w:rsidR="00C27173" w:rsidRPr="00116D0B" w:rsidRDefault="00C27173" w:rsidP="00116D0B">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[79.4%F; 78.7%M</w:t>
            </w:r>
            <w:r w:rsidRPr="00116D0B">
              <w:rPr>
                <w:rFonts w:ascii="Garamond" w:eastAsia="Times New Roman" w:hAnsi="Garamond" w:cs="Calibri"/>
                <w:kern w:val="24"/>
                <w:sz w:val="24"/>
                <w:szCs w:val="24"/>
              </w:rPr>
              <w:t>]</w:t>
            </w:r>
          </w:p>
        </w:tc>
      </w:tr>
      <w:tr w:rsidR="00C27173" w:rsidRPr="00116D0B" w14:paraId="3B59D29A" w14:textId="77777777" w:rsidTr="00C2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vMerge w:val="restart"/>
            <w:hideMark/>
          </w:tcPr>
          <w:p w14:paraId="07496D46" w14:textId="632057B2" w:rsidR="00C27173" w:rsidRPr="00116D0B" w:rsidRDefault="00C27173" w:rsidP="00997661">
            <w:pPr>
              <w:rPr>
                <w:rFonts w:ascii="Garamond" w:eastAsia="Calibri" w:hAnsi="Garamond" w:cs="Times New Roman"/>
                <w:sz w:val="24"/>
                <w:szCs w:val="24"/>
              </w:rPr>
            </w:pPr>
            <w:r w:rsidRPr="00116D0B">
              <w:rPr>
                <w:rFonts w:ascii="Garamond" w:eastAsia="Calibri" w:hAnsi="Garamond" w:cs="Times New Roman"/>
                <w:sz w:val="24"/>
                <w:szCs w:val="24"/>
              </w:rPr>
              <w:t>Facilitate inclusive consultation, engagement and</w:t>
            </w:r>
            <w:r>
              <w:rPr>
                <w:rFonts w:ascii="Garamond" w:eastAsia="Calibri" w:hAnsi="Garamond" w:cs="Times New Roman"/>
                <w:sz w:val="24"/>
                <w:szCs w:val="24"/>
              </w:rPr>
              <w:t xml:space="preserve"> </w:t>
            </w:r>
            <w:r w:rsidRPr="00116D0B">
              <w:rPr>
                <w:rFonts w:ascii="Garamond" w:eastAsia="Calibri" w:hAnsi="Garamond" w:cs="Times New Roman"/>
                <w:sz w:val="24"/>
                <w:szCs w:val="24"/>
              </w:rPr>
              <w:t>participation in problem identification, solving and</w:t>
            </w:r>
            <w:r>
              <w:rPr>
                <w:rFonts w:ascii="Garamond" w:eastAsia="Calibri" w:hAnsi="Garamond" w:cs="Times New Roman"/>
                <w:sz w:val="24"/>
                <w:szCs w:val="24"/>
              </w:rPr>
              <w:t xml:space="preserve"> </w:t>
            </w:r>
            <w:r w:rsidRPr="00116D0B">
              <w:rPr>
                <w:rFonts w:ascii="Garamond" w:eastAsia="Calibri" w:hAnsi="Garamond" w:cs="Times New Roman"/>
                <w:sz w:val="24"/>
                <w:szCs w:val="24"/>
              </w:rPr>
              <w:t>needs prioritization for target communities/wards.</w:t>
            </w:r>
          </w:p>
        </w:tc>
        <w:tc>
          <w:tcPr>
            <w:tcW w:w="4162" w:type="dxa"/>
            <w:hideMark/>
          </w:tcPr>
          <w:p w14:paraId="26F1CD0E"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stakeholders involved in consultation activities and actively participate in the CDP development process</w:t>
            </w:r>
          </w:p>
        </w:tc>
        <w:tc>
          <w:tcPr>
            <w:tcW w:w="1614" w:type="dxa"/>
            <w:hideMark/>
          </w:tcPr>
          <w:p w14:paraId="25545586"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2F61BB70"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1400</w:t>
            </w:r>
          </w:p>
        </w:tc>
        <w:tc>
          <w:tcPr>
            <w:tcW w:w="1170" w:type="dxa"/>
          </w:tcPr>
          <w:p w14:paraId="536095A6"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2858</w:t>
            </w:r>
          </w:p>
        </w:tc>
      </w:tr>
      <w:tr w:rsidR="00C27173" w:rsidRPr="00116D0B" w14:paraId="03EF3D75" w14:textId="77777777" w:rsidTr="00C27173">
        <w:tc>
          <w:tcPr>
            <w:cnfStyle w:val="001000000000" w:firstRow="0" w:lastRow="0" w:firstColumn="1" w:lastColumn="0" w:oddVBand="0" w:evenVBand="0" w:oddHBand="0" w:evenHBand="0" w:firstRowFirstColumn="0" w:firstRowLastColumn="0" w:lastRowFirstColumn="0" w:lastRowLastColumn="0"/>
            <w:tcW w:w="2568" w:type="dxa"/>
            <w:vMerge/>
            <w:hideMark/>
          </w:tcPr>
          <w:p w14:paraId="7FF13ADA" w14:textId="60525916" w:rsidR="00C27173" w:rsidRPr="00116D0B" w:rsidRDefault="00C27173" w:rsidP="00997661">
            <w:pPr>
              <w:rPr>
                <w:rFonts w:ascii="Garamond" w:eastAsia="Calibri" w:hAnsi="Garamond" w:cs="Times New Roman"/>
                <w:sz w:val="24"/>
                <w:szCs w:val="24"/>
              </w:rPr>
            </w:pPr>
          </w:p>
        </w:tc>
        <w:tc>
          <w:tcPr>
            <w:tcW w:w="4162" w:type="dxa"/>
            <w:hideMark/>
          </w:tcPr>
          <w:p w14:paraId="646BC663"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priority interventions identified through a participatory process and included in the LGA plan, which address the needs of the vulnerable groups.</w:t>
            </w:r>
          </w:p>
        </w:tc>
        <w:tc>
          <w:tcPr>
            <w:tcW w:w="1614" w:type="dxa"/>
            <w:hideMark/>
          </w:tcPr>
          <w:p w14:paraId="15A6B449"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375F12B6"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160</w:t>
            </w:r>
          </w:p>
        </w:tc>
        <w:tc>
          <w:tcPr>
            <w:tcW w:w="1170" w:type="dxa"/>
          </w:tcPr>
          <w:p w14:paraId="555DA0D0"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94</w:t>
            </w:r>
          </w:p>
        </w:tc>
      </w:tr>
      <w:tr w:rsidR="00C27173" w:rsidRPr="00116D0B" w14:paraId="341950E3" w14:textId="77777777" w:rsidTr="00C2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vMerge/>
            <w:hideMark/>
          </w:tcPr>
          <w:p w14:paraId="0C156894" w14:textId="770098EC" w:rsidR="00C27173" w:rsidRPr="00116D0B" w:rsidRDefault="00C27173" w:rsidP="00997661">
            <w:pPr>
              <w:rPr>
                <w:rFonts w:ascii="Garamond" w:eastAsia="Calibri" w:hAnsi="Garamond" w:cs="Times New Roman"/>
                <w:sz w:val="24"/>
                <w:szCs w:val="24"/>
              </w:rPr>
            </w:pPr>
          </w:p>
        </w:tc>
        <w:tc>
          <w:tcPr>
            <w:tcW w:w="4162" w:type="dxa"/>
            <w:hideMark/>
          </w:tcPr>
          <w:p w14:paraId="2C59BCA6"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priority interventions from the CDPs/WDPs/LGA plan included in the LGA/state budget which address the needs of the women and vulnerable groups</w:t>
            </w:r>
          </w:p>
        </w:tc>
        <w:tc>
          <w:tcPr>
            <w:tcW w:w="1614" w:type="dxa"/>
            <w:hideMark/>
          </w:tcPr>
          <w:p w14:paraId="09A6FFB4"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66AC563C"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16</w:t>
            </w:r>
          </w:p>
        </w:tc>
        <w:tc>
          <w:tcPr>
            <w:tcW w:w="1170" w:type="dxa"/>
          </w:tcPr>
          <w:p w14:paraId="7C751E53"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26</w:t>
            </w:r>
          </w:p>
        </w:tc>
      </w:tr>
      <w:tr w:rsidR="00C27173" w:rsidRPr="00116D0B" w14:paraId="319F38AD" w14:textId="77777777" w:rsidTr="00C27173">
        <w:tc>
          <w:tcPr>
            <w:cnfStyle w:val="001000000000" w:firstRow="0" w:lastRow="0" w:firstColumn="1" w:lastColumn="0" w:oddVBand="0" w:evenVBand="0" w:oddHBand="0" w:evenHBand="0" w:firstRowFirstColumn="0" w:firstRowLastColumn="0" w:lastRowFirstColumn="0" w:lastRowLastColumn="0"/>
            <w:tcW w:w="2568" w:type="dxa"/>
            <w:vMerge w:val="restart"/>
            <w:hideMark/>
          </w:tcPr>
          <w:p w14:paraId="4A40DC52" w14:textId="41A8485B" w:rsidR="00C27173" w:rsidRPr="00116D0B" w:rsidRDefault="00C27173" w:rsidP="00997661">
            <w:pPr>
              <w:rPr>
                <w:rFonts w:ascii="Garamond" w:eastAsia="Calibri" w:hAnsi="Garamond" w:cs="Times New Roman"/>
                <w:sz w:val="24"/>
                <w:szCs w:val="24"/>
              </w:rPr>
            </w:pPr>
            <w:r w:rsidRPr="00116D0B">
              <w:rPr>
                <w:rFonts w:ascii="Garamond" w:eastAsia="Calibri" w:hAnsi="Garamond" w:cs="Times New Roman"/>
                <w:sz w:val="24"/>
                <w:szCs w:val="24"/>
              </w:rPr>
              <w:t>Improved capacity of stakeholders for inclusive</w:t>
            </w:r>
            <w:r>
              <w:rPr>
                <w:rFonts w:ascii="Garamond" w:eastAsia="Calibri" w:hAnsi="Garamond" w:cs="Times New Roman"/>
                <w:sz w:val="24"/>
                <w:szCs w:val="24"/>
              </w:rPr>
              <w:t xml:space="preserve"> </w:t>
            </w:r>
            <w:r w:rsidRPr="00116D0B">
              <w:rPr>
                <w:rFonts w:ascii="Garamond" w:eastAsia="Calibri" w:hAnsi="Garamond" w:cs="Times New Roman"/>
                <w:sz w:val="24"/>
                <w:szCs w:val="24"/>
              </w:rPr>
              <w:t>implementation and monitoring of community/LGA development plans</w:t>
            </w:r>
          </w:p>
        </w:tc>
        <w:tc>
          <w:tcPr>
            <w:tcW w:w="4162" w:type="dxa"/>
            <w:hideMark/>
          </w:tcPr>
          <w:p w14:paraId="3551170C"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CDP priority needs captured and implemented through the state budget at the LGA</w:t>
            </w:r>
          </w:p>
        </w:tc>
        <w:tc>
          <w:tcPr>
            <w:tcW w:w="1614" w:type="dxa"/>
            <w:hideMark/>
          </w:tcPr>
          <w:p w14:paraId="02EDF85C"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7E5DA275"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w:t>
            </w:r>
          </w:p>
        </w:tc>
        <w:tc>
          <w:tcPr>
            <w:tcW w:w="1170" w:type="dxa"/>
          </w:tcPr>
          <w:p w14:paraId="692E55D2" w14:textId="77777777" w:rsidR="00C27173" w:rsidRPr="00116D0B" w:rsidRDefault="00C27173"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26</w:t>
            </w:r>
          </w:p>
        </w:tc>
      </w:tr>
      <w:tr w:rsidR="00C27173" w:rsidRPr="00116D0B" w14:paraId="2A9B35AE" w14:textId="77777777" w:rsidTr="00C27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dxa"/>
            <w:vMerge/>
            <w:hideMark/>
          </w:tcPr>
          <w:p w14:paraId="444E0117" w14:textId="233B5013" w:rsidR="00C27173" w:rsidRPr="00116D0B" w:rsidRDefault="00C27173" w:rsidP="00997661">
            <w:pPr>
              <w:rPr>
                <w:rFonts w:ascii="Garamond" w:eastAsia="Calibri" w:hAnsi="Garamond" w:cs="Times New Roman"/>
                <w:sz w:val="24"/>
                <w:szCs w:val="24"/>
              </w:rPr>
            </w:pPr>
          </w:p>
        </w:tc>
        <w:tc>
          <w:tcPr>
            <w:tcW w:w="4162" w:type="dxa"/>
            <w:hideMark/>
          </w:tcPr>
          <w:p w14:paraId="7F8CAAB1"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initiatives established to boost budget transparency at the LGA level</w:t>
            </w:r>
          </w:p>
        </w:tc>
        <w:tc>
          <w:tcPr>
            <w:tcW w:w="1614" w:type="dxa"/>
            <w:hideMark/>
          </w:tcPr>
          <w:p w14:paraId="527D3240"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27FD9519"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w:t>
            </w:r>
          </w:p>
        </w:tc>
        <w:tc>
          <w:tcPr>
            <w:tcW w:w="1170" w:type="dxa"/>
          </w:tcPr>
          <w:p w14:paraId="464D9D60" w14:textId="77777777" w:rsidR="00C27173" w:rsidRPr="00116D0B" w:rsidRDefault="00C27173" w:rsidP="00116D0B">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w:t>
            </w:r>
          </w:p>
        </w:tc>
      </w:tr>
      <w:tr w:rsidR="00116D0B" w:rsidRPr="00116D0B" w14:paraId="265BE611" w14:textId="77777777" w:rsidTr="00C27173">
        <w:tc>
          <w:tcPr>
            <w:cnfStyle w:val="001000000000" w:firstRow="0" w:lastRow="0" w:firstColumn="1" w:lastColumn="0" w:oddVBand="0" w:evenVBand="0" w:oddHBand="0" w:evenHBand="0" w:firstRowFirstColumn="0" w:firstRowLastColumn="0" w:lastRowFirstColumn="0" w:lastRowLastColumn="0"/>
            <w:tcW w:w="2568" w:type="dxa"/>
            <w:hideMark/>
          </w:tcPr>
          <w:p w14:paraId="1F672AD5" w14:textId="6381E89B" w:rsidR="00116D0B" w:rsidRPr="00116D0B" w:rsidRDefault="00116D0B" w:rsidP="00997661">
            <w:pPr>
              <w:rPr>
                <w:rFonts w:ascii="Garamond" w:eastAsia="Calibri" w:hAnsi="Garamond" w:cs="Times New Roman"/>
                <w:sz w:val="24"/>
                <w:szCs w:val="24"/>
              </w:rPr>
            </w:pPr>
            <w:r w:rsidRPr="00116D0B">
              <w:rPr>
                <w:rFonts w:ascii="Garamond" w:eastAsia="Calibri" w:hAnsi="Garamond" w:cs="Times New Roman"/>
                <w:sz w:val="24"/>
                <w:szCs w:val="24"/>
              </w:rPr>
              <w:t xml:space="preserve">Strengthened community participation and </w:t>
            </w:r>
            <w:r w:rsidR="00C27173" w:rsidRPr="00116D0B">
              <w:rPr>
                <w:rFonts w:ascii="Garamond" w:eastAsia="Calibri" w:hAnsi="Garamond" w:cs="Times New Roman"/>
                <w:sz w:val="24"/>
                <w:szCs w:val="24"/>
              </w:rPr>
              <w:t>cohesion platforms</w:t>
            </w:r>
          </w:p>
        </w:tc>
        <w:tc>
          <w:tcPr>
            <w:tcW w:w="4162" w:type="dxa"/>
            <w:hideMark/>
          </w:tcPr>
          <w:p w14:paraId="53E2DFF4" w14:textId="77777777" w:rsidR="00116D0B" w:rsidRPr="00116D0B" w:rsidRDefault="00116D0B"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people directly supported through measures to foster cohesion</w:t>
            </w:r>
          </w:p>
        </w:tc>
        <w:tc>
          <w:tcPr>
            <w:tcW w:w="1614" w:type="dxa"/>
            <w:hideMark/>
          </w:tcPr>
          <w:p w14:paraId="41B684C8" w14:textId="77777777" w:rsidR="00116D0B" w:rsidRPr="00116D0B" w:rsidRDefault="00116D0B"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11" w:type="dxa"/>
          </w:tcPr>
          <w:p w14:paraId="1210D123" w14:textId="77777777" w:rsidR="00116D0B" w:rsidRPr="00116D0B" w:rsidRDefault="00116D0B"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1000</w:t>
            </w:r>
          </w:p>
        </w:tc>
        <w:tc>
          <w:tcPr>
            <w:tcW w:w="1170" w:type="dxa"/>
          </w:tcPr>
          <w:p w14:paraId="2A33F572" w14:textId="77777777" w:rsidR="00116D0B" w:rsidRPr="00116D0B" w:rsidRDefault="00116D0B" w:rsidP="00116D0B">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2858</w:t>
            </w:r>
          </w:p>
        </w:tc>
      </w:tr>
    </w:tbl>
    <w:p w14:paraId="2E95D0E0" w14:textId="77777777" w:rsidR="00116D0B" w:rsidRPr="00116D0B" w:rsidRDefault="00116D0B" w:rsidP="00116D0B">
      <w:pPr>
        <w:widowControl/>
        <w:autoSpaceDE/>
        <w:autoSpaceDN/>
        <w:spacing w:after="160" w:line="259" w:lineRule="auto"/>
        <w:rPr>
          <w:rFonts w:ascii="Garamond" w:eastAsia="Calibri" w:hAnsi="Garamond" w:cs="Times New Roman"/>
          <w:b/>
          <w:sz w:val="24"/>
          <w:szCs w:val="24"/>
        </w:rPr>
      </w:pPr>
      <w:r w:rsidRPr="00116D0B">
        <w:rPr>
          <w:rFonts w:ascii="Garamond" w:eastAsia="Calibri" w:hAnsi="Garamond" w:cs="Times New Roman"/>
          <w:b/>
          <w:sz w:val="24"/>
          <w:szCs w:val="24"/>
        </w:rPr>
        <w:br w:type="page"/>
      </w:r>
    </w:p>
    <w:p w14:paraId="447AEBC7" w14:textId="77777777" w:rsidR="00116D0B" w:rsidRPr="00757A6C" w:rsidRDefault="00116D0B" w:rsidP="00116D0B">
      <w:pPr>
        <w:widowControl/>
        <w:autoSpaceDE/>
        <w:autoSpaceDN/>
        <w:spacing w:before="240" w:after="240" w:line="276" w:lineRule="auto"/>
        <w:jc w:val="both"/>
        <w:rPr>
          <w:rFonts w:ascii="Garamond" w:eastAsia="Calibri" w:hAnsi="Garamond" w:cs="Times New Roman"/>
          <w:b/>
          <w:color w:val="92D050"/>
          <w:sz w:val="24"/>
          <w:szCs w:val="24"/>
        </w:rPr>
      </w:pPr>
      <w:r w:rsidRPr="00757A6C">
        <w:rPr>
          <w:rFonts w:ascii="Garamond" w:eastAsia="Calibri" w:hAnsi="Garamond" w:cs="Times New Roman"/>
          <w:b/>
          <w:color w:val="92D050"/>
          <w:sz w:val="24"/>
          <w:szCs w:val="24"/>
        </w:rPr>
        <w:lastRenderedPageBreak/>
        <w:t>Summary of findings on the evaluation of the CDP sessions</w:t>
      </w:r>
    </w:p>
    <w:p w14:paraId="3AB4194B" w14:textId="2F07F0B4"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Participation Rates:</w:t>
      </w:r>
      <w:r w:rsidRPr="00116D0B">
        <w:rPr>
          <w:rFonts w:ascii="Garamond" w:eastAsia="Calibri" w:hAnsi="Garamond" w:cs="Times New Roman"/>
          <w:sz w:val="24"/>
          <w:szCs w:val="24"/>
        </w:rPr>
        <w:t xml:space="preserve"> A significant proportion (74.9%) of respondents reported attending the CDP sessions, indicating high community engagement. Notably, there was balanced participation across genders, with females slightly out</w:t>
      </w:r>
      <w:r w:rsidR="002629FE">
        <w:rPr>
          <w:rFonts w:ascii="Garamond" w:eastAsia="Calibri" w:hAnsi="Garamond" w:cs="Times New Roman"/>
          <w:sz w:val="24"/>
          <w:szCs w:val="24"/>
        </w:rPr>
        <w:t xml:space="preserve"> </w:t>
      </w:r>
      <w:r w:rsidRPr="00116D0B">
        <w:rPr>
          <w:rFonts w:ascii="Garamond" w:eastAsia="Calibri" w:hAnsi="Garamond" w:cs="Times New Roman"/>
          <w:sz w:val="24"/>
          <w:szCs w:val="24"/>
        </w:rPr>
        <w:t>numbering males in attendance.</w:t>
      </w:r>
    </w:p>
    <w:p w14:paraId="2A3B3095"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Participation by Category:</w:t>
      </w:r>
      <w:r w:rsidRPr="00116D0B">
        <w:rPr>
          <w:rFonts w:ascii="Garamond" w:eastAsia="Calibri" w:hAnsi="Garamond" w:cs="Times New Roman"/>
          <w:sz w:val="24"/>
          <w:szCs w:val="24"/>
        </w:rPr>
        <w:t xml:space="preserve"> Various demographic groups actively participated in the sessions, with economic actors comprising the largest category (37.6%), followed by female youth (14.5%) and housewives (11.6%). This diverse participation reflects a broad representation of community stakeholders in the development process.</w:t>
      </w:r>
    </w:p>
    <w:p w14:paraId="3BC391E8"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Information Sources:</w:t>
      </w:r>
      <w:r w:rsidRPr="00116D0B">
        <w:rPr>
          <w:rFonts w:ascii="Garamond" w:eastAsia="Calibri" w:hAnsi="Garamond" w:cs="Times New Roman"/>
          <w:sz w:val="24"/>
          <w:szCs w:val="24"/>
        </w:rPr>
        <w:t xml:space="preserve"> Friends and neighbors (47%) and family members (35.1%) emerged as the primary sources of information about the CDP sessions, highlighting the importance of informal social networks in community mobilization and outreach.</w:t>
      </w:r>
    </w:p>
    <w:p w14:paraId="58C13996"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Encouragement of Participation:</w:t>
      </w:r>
      <w:r w:rsidRPr="00116D0B">
        <w:rPr>
          <w:rFonts w:ascii="Garamond" w:eastAsia="Calibri" w:hAnsi="Garamond" w:cs="Times New Roman"/>
          <w:sz w:val="24"/>
          <w:szCs w:val="24"/>
        </w:rPr>
        <w:t xml:space="preserve"> A vast majority of respondents (94.2%) agreed that participation and interaction were encouraged during the CDP sessions, indicating a supportive environment conducive to engagement. Additionally, nearly all respondents (99.3%) reported that the right people were invited to the sessions, ensuring inclusive participation.</w:t>
      </w:r>
    </w:p>
    <w:p w14:paraId="07CB1433"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Satisfaction Levels:</w:t>
      </w:r>
      <w:r w:rsidRPr="00116D0B">
        <w:rPr>
          <w:rFonts w:ascii="Garamond" w:eastAsia="Calibri" w:hAnsi="Garamond" w:cs="Times New Roman"/>
          <w:sz w:val="24"/>
          <w:szCs w:val="24"/>
        </w:rPr>
        <w:t xml:space="preserve"> The significant majority of participants (98.1%) reported being satisfied with the CDP sessions, with 59.8% expressing high satisfaction and 38.3% reporting satisfaction. This high level of approval underscores the effectiveness of the sessions in meeting community needs and expectations.</w:t>
      </w:r>
    </w:p>
    <w:p w14:paraId="14D2A0CD"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Perception of Safety:</w:t>
      </w:r>
      <w:r w:rsidRPr="00116D0B">
        <w:rPr>
          <w:rFonts w:ascii="Garamond" w:eastAsia="Calibri" w:hAnsi="Garamond" w:cs="Times New Roman"/>
          <w:sz w:val="24"/>
          <w:szCs w:val="24"/>
        </w:rPr>
        <w:t xml:space="preserve"> Overall, 84.1% of respondents reported feeling safe in their neighborhoods or communities following the CDP sessions, reflecting a positive impact on community cohesion and well-being. However, notable variations were observed in specific wards, emphasizing the need for targeted interventions in those areas.</w:t>
      </w:r>
    </w:p>
    <w:p w14:paraId="6F6F9BC1" w14:textId="77777777" w:rsidR="00116D0B" w:rsidRPr="00757A6C" w:rsidRDefault="00116D0B" w:rsidP="00116D0B">
      <w:pPr>
        <w:widowControl/>
        <w:autoSpaceDE/>
        <w:autoSpaceDN/>
        <w:spacing w:before="240" w:after="240" w:line="276" w:lineRule="auto"/>
        <w:jc w:val="both"/>
        <w:rPr>
          <w:rFonts w:ascii="Garamond" w:eastAsia="Calibri" w:hAnsi="Garamond" w:cs="Times New Roman"/>
          <w:color w:val="92D050"/>
          <w:sz w:val="24"/>
          <w:szCs w:val="24"/>
        </w:rPr>
      </w:pPr>
      <w:r w:rsidRPr="00757A6C">
        <w:rPr>
          <w:rFonts w:ascii="Garamond" w:eastAsia="Calibri" w:hAnsi="Garamond" w:cs="Times New Roman"/>
          <w:b/>
          <w:color w:val="92D050"/>
          <w:sz w:val="24"/>
          <w:szCs w:val="24"/>
        </w:rPr>
        <w:t>Summary of findings on evaluation of participatory engagement and planning between local communities and government:</w:t>
      </w:r>
    </w:p>
    <w:p w14:paraId="27B73FAA"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Perceived Participation in Community Decisions:</w:t>
      </w:r>
      <w:r w:rsidRPr="00116D0B">
        <w:rPr>
          <w:rFonts w:ascii="Garamond" w:eastAsia="Calibri" w:hAnsi="Garamond" w:cs="Times New Roman"/>
          <w:sz w:val="24"/>
          <w:szCs w:val="24"/>
        </w:rPr>
        <w:t xml:space="preserve"> The endline survey indicates a substantial increase in perceived community participation in decision-making compared to the baseline. While only 41.2% of respondents reported community involvement during the baseline, this number increased significantly to over 85% during the endline survey, suggesting that the CDP sessions empowered residents and fostered a more inclusive environment where they feel they have a greater say in shaping their community. Further analysis by gender did not reveal any significant variation, with 85% of both male and female respondents reporting community members' participation in community decisions. This indicates that the project's impact was consistent across genders, promoting inclusivity in decision-making processes.</w:t>
      </w:r>
    </w:p>
    <w:p w14:paraId="3C121CAC"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Involvement in Decision-Making: </w:t>
      </w:r>
      <w:r w:rsidRPr="00116D0B">
        <w:rPr>
          <w:rFonts w:ascii="Garamond" w:eastAsia="Calibri" w:hAnsi="Garamond" w:cs="Times New Roman"/>
          <w:sz w:val="24"/>
          <w:szCs w:val="24"/>
        </w:rPr>
        <w:t xml:space="preserve">Overall, 91.1% of respondents reported being involved in decision-making in their community at the endline, compared to only 45% during the baseline. While more men </w:t>
      </w:r>
      <w:r w:rsidRPr="00116D0B">
        <w:rPr>
          <w:rFonts w:ascii="Garamond" w:eastAsia="Calibri" w:hAnsi="Garamond" w:cs="Times New Roman"/>
          <w:sz w:val="24"/>
          <w:szCs w:val="24"/>
        </w:rPr>
        <w:lastRenderedPageBreak/>
        <w:t>(94.1%) were involved in decision-making than women (87.6%), there was a significant improvement for both genders compared to the baseline figures.</w:t>
      </w:r>
    </w:p>
    <w:p w14:paraId="1DE2CA01"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Consideration of Community Viewpoints: </w:t>
      </w:r>
      <w:r w:rsidRPr="00116D0B">
        <w:rPr>
          <w:rFonts w:ascii="Garamond" w:eastAsia="Calibri" w:hAnsi="Garamond" w:cs="Times New Roman"/>
          <w:sz w:val="24"/>
          <w:szCs w:val="24"/>
        </w:rPr>
        <w:t>The endline survey revealed a positive shift in how community members feel their viewpoints are considered in local decision-making processes. About 80.8% of respondents indicated that their views were considered to a very high or high extent, a significant increase from the baseline figure of 43.8%.</w:t>
      </w:r>
    </w:p>
    <w:p w14:paraId="206C41D6"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Trust in Local Leaders and Government Institutions: </w:t>
      </w:r>
      <w:r w:rsidRPr="00116D0B">
        <w:rPr>
          <w:rFonts w:ascii="Garamond" w:eastAsia="Calibri" w:hAnsi="Garamond" w:cs="Times New Roman"/>
          <w:sz w:val="24"/>
          <w:szCs w:val="24"/>
        </w:rPr>
        <w:t>The majority of respondents (96.9%) perceived decisions made in relation to their communities to be in the best interest of everyone at the endline, compared to only 65% during the baseline. Similarly, 78.3% of respondents affirmed confidence in local government institutions to make fair decisions and laws for the common good, compared to 68.7% during the baseline.</w:t>
      </w:r>
    </w:p>
    <w:p w14:paraId="74266E6E" w14:textId="77777777" w:rsidR="00116D0B" w:rsidRPr="00757A6C" w:rsidRDefault="00116D0B" w:rsidP="00116D0B">
      <w:pPr>
        <w:widowControl/>
        <w:autoSpaceDE/>
        <w:autoSpaceDN/>
        <w:spacing w:before="240" w:after="240" w:line="276" w:lineRule="auto"/>
        <w:jc w:val="both"/>
        <w:rPr>
          <w:rFonts w:ascii="Garamond" w:eastAsia="Calibri" w:hAnsi="Garamond" w:cs="Times New Roman"/>
          <w:b/>
          <w:color w:val="92D050"/>
          <w:sz w:val="24"/>
          <w:szCs w:val="24"/>
        </w:rPr>
      </w:pPr>
      <w:r w:rsidRPr="00757A6C">
        <w:rPr>
          <w:rFonts w:ascii="Garamond" w:eastAsia="Calibri" w:hAnsi="Garamond" w:cs="Times New Roman"/>
          <w:b/>
          <w:color w:val="92D050"/>
          <w:sz w:val="24"/>
          <w:szCs w:val="24"/>
        </w:rPr>
        <w:t>Summary of findings of evaluation of social cohesion dynamics and inclusive planning</w:t>
      </w:r>
    </w:p>
    <w:p w14:paraId="01675AF1" w14:textId="2D2DB076"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Ease of Interaction within the Community:</w:t>
      </w:r>
      <w:r w:rsidRPr="00116D0B">
        <w:rPr>
          <w:rFonts w:ascii="Garamond" w:eastAsia="Calibri" w:hAnsi="Garamond" w:cs="Times New Roman"/>
          <w:sz w:val="24"/>
          <w:szCs w:val="24"/>
        </w:rPr>
        <w:t xml:space="preserve"> </w:t>
      </w:r>
      <w:r w:rsidR="003E41F9" w:rsidRPr="003E41F9">
        <w:rPr>
          <w:rFonts w:ascii="Garamond" w:eastAsia="Calibri" w:hAnsi="Garamond" w:cs="Times New Roman"/>
          <w:sz w:val="24"/>
          <w:szCs w:val="24"/>
        </w:rPr>
        <w:t>The majority of respondents (89.9%) indicated that they did not find any individuals or groups difficult to interact with in their community following the CDP session. This suggests a sense of inclusiveness and ease of interaction within the community after the session, although a minority still faces challenges in this area.</w:t>
      </w:r>
    </w:p>
    <w:p w14:paraId="75186F18" w14:textId="1924BF69"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Perception of Influence and Cooperation:</w:t>
      </w:r>
      <w:r w:rsidRPr="00116D0B">
        <w:rPr>
          <w:rFonts w:ascii="Garamond" w:eastAsia="Calibri" w:hAnsi="Garamond" w:cs="Times New Roman"/>
          <w:sz w:val="24"/>
          <w:szCs w:val="24"/>
        </w:rPr>
        <w:t xml:space="preserve"> There was a significant improvement in the perceived ability of community members to influence people and institutions with authority in their communities. While only 40.6% of respondents felt this way during the baseline, 71.8% reported feeling this way at the endline. Similarly, the perception of cooperation between the communit</w:t>
      </w:r>
      <w:r w:rsidR="00867A3A">
        <w:rPr>
          <w:rFonts w:ascii="Garamond" w:eastAsia="Calibri" w:hAnsi="Garamond" w:cs="Times New Roman"/>
          <w:sz w:val="24"/>
          <w:szCs w:val="24"/>
        </w:rPr>
        <w:t>ies</w:t>
      </w:r>
      <w:r w:rsidRPr="00116D0B">
        <w:rPr>
          <w:rFonts w:ascii="Garamond" w:eastAsia="Calibri" w:hAnsi="Garamond" w:cs="Times New Roman"/>
          <w:sz w:val="24"/>
          <w:szCs w:val="24"/>
        </w:rPr>
        <w:t xml:space="preserve"> and local government</w:t>
      </w:r>
      <w:r w:rsidR="00867A3A">
        <w:rPr>
          <w:rFonts w:ascii="Garamond" w:eastAsia="Calibri" w:hAnsi="Garamond" w:cs="Times New Roman"/>
          <w:sz w:val="24"/>
          <w:szCs w:val="24"/>
        </w:rPr>
        <w:t xml:space="preserve"> leadership</w:t>
      </w:r>
      <w:r w:rsidRPr="00116D0B">
        <w:rPr>
          <w:rFonts w:ascii="Garamond" w:eastAsia="Calibri" w:hAnsi="Garamond" w:cs="Times New Roman"/>
          <w:sz w:val="24"/>
          <w:szCs w:val="24"/>
        </w:rPr>
        <w:t xml:space="preserve"> improved significantly.</w:t>
      </w:r>
    </w:p>
    <w:p w14:paraId="456AD79E" w14:textId="1F248DC7" w:rsidR="00116D0B" w:rsidRPr="00116D0B" w:rsidRDefault="00116D0B" w:rsidP="00757A6C">
      <w:pPr>
        <w:widowControl/>
        <w:autoSpaceDE/>
        <w:autoSpaceDN/>
        <w:spacing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Government Responsiveness:</w:t>
      </w:r>
      <w:r w:rsidRPr="00116D0B">
        <w:rPr>
          <w:rFonts w:ascii="Garamond" w:eastAsia="Calibri" w:hAnsi="Garamond" w:cs="Times New Roman"/>
          <w:sz w:val="24"/>
          <w:szCs w:val="24"/>
        </w:rPr>
        <w:t xml:space="preserve"> The evaluation indicates a marked improvement in perceptions of governmental responsiveness to community needs post-CDP process. The combined "very high" and "high" ratings increased substantially to 68%, </w:t>
      </w:r>
      <w:r w:rsidRPr="00867A3A">
        <w:rPr>
          <w:rFonts w:ascii="Garamond" w:eastAsia="Calibri" w:hAnsi="Garamond" w:cs="Times New Roman"/>
          <w:sz w:val="24"/>
          <w:szCs w:val="24"/>
        </w:rPr>
        <w:t>reflecting</w:t>
      </w:r>
      <w:r w:rsidRPr="00116D0B">
        <w:rPr>
          <w:rFonts w:ascii="Garamond" w:eastAsia="Calibri" w:hAnsi="Garamond" w:cs="Times New Roman"/>
          <w:sz w:val="24"/>
          <w:szCs w:val="24"/>
        </w:rPr>
        <w:t xml:space="preserve"> a significant positive shift in community perceptions</w:t>
      </w:r>
      <w:r w:rsidR="003E41F9">
        <w:rPr>
          <w:rFonts w:ascii="Garamond" w:eastAsia="Calibri" w:hAnsi="Garamond" w:cs="Times New Roman"/>
          <w:sz w:val="24"/>
          <w:szCs w:val="24"/>
        </w:rPr>
        <w:t xml:space="preserve"> from the baseline (</w:t>
      </w:r>
      <w:r w:rsidR="00AD2015">
        <w:rPr>
          <w:rFonts w:ascii="Garamond" w:eastAsia="Calibri" w:hAnsi="Garamond" w:cs="Times New Roman"/>
          <w:sz w:val="24"/>
          <w:szCs w:val="24"/>
        </w:rPr>
        <w:t>39.4%)</w:t>
      </w:r>
      <w:r w:rsidRPr="00116D0B">
        <w:rPr>
          <w:rFonts w:ascii="Garamond" w:eastAsia="Calibri" w:hAnsi="Garamond" w:cs="Times New Roman"/>
          <w:sz w:val="24"/>
          <w:szCs w:val="24"/>
        </w:rPr>
        <w:t>.</w:t>
      </w:r>
    </w:p>
    <w:p w14:paraId="2EDE9CFE"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Relationship between Community Leaders and Local Government:</w:t>
      </w:r>
      <w:r w:rsidRPr="00116D0B">
        <w:rPr>
          <w:rFonts w:ascii="Garamond" w:eastAsia="Calibri" w:hAnsi="Garamond" w:cs="Times New Roman"/>
          <w:sz w:val="24"/>
          <w:szCs w:val="24"/>
        </w:rPr>
        <w:t xml:space="preserve"> There was a significant improvement in perceptions regarding the relationship between community leaders and the local government. While only 25.5% of respondents felt the relationship was positive during the baseline, 65.8% held a positive view at the endline.</w:t>
      </w:r>
    </w:p>
    <w:p w14:paraId="2D3998E3" w14:textId="018C4502"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Equal Opportunities for Participation:</w:t>
      </w:r>
      <w:r w:rsidRPr="00116D0B">
        <w:rPr>
          <w:rFonts w:ascii="Garamond" w:eastAsia="Calibri" w:hAnsi="Garamond" w:cs="Times New Roman"/>
          <w:sz w:val="24"/>
          <w:szCs w:val="24"/>
        </w:rPr>
        <w:t xml:space="preserve"> There was a significant positive shift in the perception of equal opportunities for men and women in participating in social, cultural, and political life in the community from the baseline (33.1%) to the endline (78.3%). This suggests progress towards enhancing cooperation between the communit</w:t>
      </w:r>
      <w:r w:rsidR="00867A3A">
        <w:rPr>
          <w:rFonts w:ascii="Garamond" w:eastAsia="Calibri" w:hAnsi="Garamond" w:cs="Times New Roman"/>
          <w:sz w:val="24"/>
          <w:szCs w:val="24"/>
        </w:rPr>
        <w:t>ies</w:t>
      </w:r>
      <w:r w:rsidRPr="00116D0B">
        <w:rPr>
          <w:rFonts w:ascii="Garamond" w:eastAsia="Calibri" w:hAnsi="Garamond" w:cs="Times New Roman"/>
          <w:sz w:val="24"/>
          <w:szCs w:val="24"/>
        </w:rPr>
        <w:t xml:space="preserve"> and </w:t>
      </w:r>
      <w:r w:rsidR="00867A3A">
        <w:rPr>
          <w:rFonts w:ascii="Garamond" w:eastAsia="Calibri" w:hAnsi="Garamond" w:cs="Times New Roman"/>
          <w:sz w:val="24"/>
          <w:szCs w:val="24"/>
        </w:rPr>
        <w:t xml:space="preserve">the </w:t>
      </w:r>
      <w:r w:rsidRPr="00116D0B">
        <w:rPr>
          <w:rFonts w:ascii="Garamond" w:eastAsia="Calibri" w:hAnsi="Garamond" w:cs="Times New Roman"/>
          <w:sz w:val="24"/>
          <w:szCs w:val="24"/>
        </w:rPr>
        <w:t>local government</w:t>
      </w:r>
      <w:r w:rsidR="00867A3A">
        <w:rPr>
          <w:rFonts w:ascii="Garamond" w:eastAsia="Calibri" w:hAnsi="Garamond" w:cs="Times New Roman"/>
          <w:sz w:val="24"/>
          <w:szCs w:val="24"/>
        </w:rPr>
        <w:t xml:space="preserve"> leadership</w:t>
      </w:r>
      <w:r w:rsidRPr="00116D0B">
        <w:rPr>
          <w:rFonts w:ascii="Garamond" w:eastAsia="Calibri" w:hAnsi="Garamond" w:cs="Times New Roman"/>
          <w:sz w:val="24"/>
          <w:szCs w:val="24"/>
        </w:rPr>
        <w:t>.</w:t>
      </w:r>
    </w:p>
    <w:p w14:paraId="15AB036D"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Quality of Social Relationships:</w:t>
      </w:r>
      <w:r w:rsidRPr="00116D0B">
        <w:rPr>
          <w:rFonts w:ascii="Garamond" w:eastAsia="Calibri" w:hAnsi="Garamond" w:cs="Times New Roman"/>
          <w:sz w:val="24"/>
          <w:szCs w:val="24"/>
        </w:rPr>
        <w:t xml:space="preserve"> There was a notable improvement in perceptions of social relationships and interactions among community members. A higher percentage of respondents rated social </w:t>
      </w:r>
      <w:r w:rsidRPr="00116D0B">
        <w:rPr>
          <w:rFonts w:ascii="Garamond" w:eastAsia="Calibri" w:hAnsi="Garamond" w:cs="Times New Roman"/>
          <w:sz w:val="24"/>
          <w:szCs w:val="24"/>
        </w:rPr>
        <w:lastRenderedPageBreak/>
        <w:t>relationships as very high or high at the endline evaluation, reflecting progress towards fostering stronger social bonds and cohesion within the community.</w:t>
      </w:r>
    </w:p>
    <w:p w14:paraId="5CAF2099"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Summary of findings on the influence of the CDP process on inclusion </w:t>
      </w:r>
    </w:p>
    <w:p w14:paraId="458269AB"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Inclusion of Minority Groups:</w:t>
      </w:r>
      <w:r w:rsidRPr="00116D0B">
        <w:rPr>
          <w:rFonts w:ascii="Garamond" w:eastAsia="Calibri" w:hAnsi="Garamond" w:cs="Times New Roman"/>
          <w:sz w:val="24"/>
          <w:szCs w:val="24"/>
        </w:rPr>
        <w:t xml:space="preserve"> The majority of respondents either strongly agreed or agreed that minority groups such as IDPs, PWDs, Returnees, religious minorities, and ethnic minorities were included in the CDP process. Notably, 96.9% of respondents across all wards reported high levels of agreement regarding the inclusion of these minority groups.</w:t>
      </w:r>
    </w:p>
    <w:p w14:paraId="371CA807"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Facilitation of Changes in Community Perception:</w:t>
      </w:r>
      <w:r w:rsidRPr="00116D0B">
        <w:rPr>
          <w:rFonts w:ascii="Garamond" w:eastAsia="Calibri" w:hAnsi="Garamond" w:cs="Times New Roman"/>
          <w:sz w:val="24"/>
          <w:szCs w:val="24"/>
        </w:rPr>
        <w:t xml:space="preserve"> Similarly, a significant majority of respondents either strongly agreed or agreed that the CDP process facilitated changes in community perception regarding the inclusion and participation of marginalized people. Overall, 98.1% of respondents across all wards expressed a strong belief in the positive impact of the CDP process on changing perceptions.</w:t>
      </w:r>
    </w:p>
    <w:p w14:paraId="6166E564"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Summary of findings of post CDP evaluation</w:t>
      </w:r>
    </w:p>
    <w:p w14:paraId="437B06CB"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Positive Change in Perception and Involvement: </w:t>
      </w:r>
      <w:r w:rsidRPr="00116D0B">
        <w:rPr>
          <w:rFonts w:ascii="Garamond" w:eastAsia="Calibri" w:hAnsi="Garamond" w:cs="Times New Roman"/>
          <w:sz w:val="24"/>
          <w:szCs w:val="24"/>
        </w:rPr>
        <w:t>A majority of respondents reported experiencing a positive change in their perception and involvement in community development as a result of participating in CDP sessions. Specifically, 82.7% of respondents reported some level of positive change, indicating the overall beneficial impact of CDP sessions on participants' perceptions and involvement in community development endeavors.</w:t>
      </w:r>
    </w:p>
    <w:p w14:paraId="61C06EF0"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Women's Participation: </w:t>
      </w:r>
      <w:r w:rsidRPr="00116D0B">
        <w:rPr>
          <w:rFonts w:ascii="Garamond" w:eastAsia="Calibri" w:hAnsi="Garamond" w:cs="Times New Roman"/>
          <w:sz w:val="24"/>
          <w:szCs w:val="24"/>
        </w:rPr>
        <w:t>Overall, 77.8% of respondents rated women's engagement in the CDP session as very high or high, reflecting effective outreach efforts aimed at promoting gender inclusivity in community development activities.</w:t>
      </w:r>
    </w:p>
    <w:p w14:paraId="2E6CDB2F" w14:textId="0CC2479F"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Deprivation of Women's Entitlements: </w:t>
      </w:r>
      <w:r w:rsidRPr="00116D0B">
        <w:rPr>
          <w:rFonts w:ascii="Garamond" w:eastAsia="Calibri" w:hAnsi="Garamond" w:cs="Times New Roman"/>
          <w:sz w:val="24"/>
          <w:szCs w:val="24"/>
        </w:rPr>
        <w:t>Respondents acknowledged the potential deprivation of women's entitlements if they don't participate in CDP processes. While there were differences across wards, overall, 51.3% of respondents reported the deprivation of women's entitlements due to non-participation in CDP processes, indicating an improvement from the baseline</w:t>
      </w:r>
      <w:r w:rsidR="00AD2015">
        <w:rPr>
          <w:rFonts w:ascii="Garamond" w:eastAsia="Calibri" w:hAnsi="Garamond" w:cs="Times New Roman"/>
          <w:sz w:val="24"/>
          <w:szCs w:val="24"/>
        </w:rPr>
        <w:t xml:space="preserve"> </w:t>
      </w:r>
      <w:r w:rsidR="00AD2015" w:rsidRPr="00116D0B">
        <w:rPr>
          <w:rFonts w:ascii="Garamond" w:hAnsi="Garamond"/>
          <w:sz w:val="24"/>
          <w:szCs w:val="24"/>
        </w:rPr>
        <w:t>where only 36.1% of the respondents held similar view</w:t>
      </w:r>
      <w:r w:rsidRPr="00116D0B">
        <w:rPr>
          <w:rFonts w:ascii="Garamond" w:eastAsia="Calibri" w:hAnsi="Garamond" w:cs="Times New Roman"/>
          <w:sz w:val="24"/>
          <w:szCs w:val="24"/>
        </w:rPr>
        <w:t>.</w:t>
      </w:r>
    </w:p>
    <w:p w14:paraId="2121666E"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Consideration of Women's Viewpoints: </w:t>
      </w:r>
      <w:r w:rsidRPr="00116D0B">
        <w:rPr>
          <w:rFonts w:ascii="Garamond" w:eastAsia="Calibri" w:hAnsi="Garamond" w:cs="Times New Roman"/>
          <w:sz w:val="24"/>
          <w:szCs w:val="24"/>
        </w:rPr>
        <w:t>The majority of respondents indicated that women's viewpoints are considered and appreciated during the CDP process and in community activities after the CDP process. Overall, 71.1% of respondents reported that women's viewpoints are considered and appreciated, highlighting efforts towards gender inclusivity.</w:t>
      </w:r>
    </w:p>
    <w:p w14:paraId="196340F6"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Positive Changes in Communities: </w:t>
      </w:r>
      <w:r w:rsidRPr="00116D0B">
        <w:rPr>
          <w:rFonts w:ascii="Garamond" w:eastAsia="Calibri" w:hAnsi="Garamond" w:cs="Times New Roman"/>
          <w:sz w:val="24"/>
          <w:szCs w:val="24"/>
        </w:rPr>
        <w:t>The evaluation also found that the significant majority of respondents (87.5%) reported positive changes within their communities as a result of the CDP process, indicating the effectiveness of CDP sessions in bringing about tangible improvements.</w:t>
      </w:r>
    </w:p>
    <w:p w14:paraId="7B0CD238" w14:textId="77777777" w:rsidR="00850957"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lastRenderedPageBreak/>
        <w:t>Summary of findings on the developmental challenges, and the effectiveness of initiatives in transforming community development planning using the OECD criteria of Relevance, Effectiveness, Impact, Sustainability, Lessons Learned, and Challenges Encountered</w:t>
      </w:r>
      <w:r w:rsidRPr="00116D0B">
        <w:rPr>
          <w:rFonts w:ascii="Garamond" w:eastAsia="Calibri" w:hAnsi="Garamond" w:cs="Times New Roman"/>
          <w:sz w:val="24"/>
          <w:szCs w:val="24"/>
        </w:rPr>
        <w:t xml:space="preserve">. </w:t>
      </w:r>
    </w:p>
    <w:p w14:paraId="0FBFDD49" w14:textId="4D135E13"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Relevance</w:t>
      </w:r>
    </w:p>
    <w:p w14:paraId="4E98EAAC" w14:textId="1ED92BA9" w:rsidR="002E025E" w:rsidRPr="00116D0B" w:rsidRDefault="002E025E" w:rsidP="00116D0B">
      <w:pPr>
        <w:widowControl/>
        <w:numPr>
          <w:ilvl w:val="0"/>
          <w:numId w:val="25"/>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 xml:space="preserve">The project effectively addressed the challenge of mobilizing communities for </w:t>
      </w:r>
      <w:r w:rsidR="00850957">
        <w:rPr>
          <w:rFonts w:ascii="Garamond" w:eastAsia="Calibri" w:hAnsi="Garamond" w:cs="Times New Roman"/>
          <w:sz w:val="24"/>
          <w:szCs w:val="24"/>
        </w:rPr>
        <w:t>c</w:t>
      </w:r>
      <w:r w:rsidRPr="00116D0B">
        <w:rPr>
          <w:rFonts w:ascii="Garamond" w:eastAsia="Calibri" w:hAnsi="Garamond" w:cs="Times New Roman"/>
          <w:sz w:val="24"/>
          <w:szCs w:val="24"/>
        </w:rPr>
        <w:t xml:space="preserve">ommunity </w:t>
      </w:r>
      <w:r w:rsidR="00850957">
        <w:rPr>
          <w:rFonts w:ascii="Garamond" w:eastAsia="Calibri" w:hAnsi="Garamond" w:cs="Times New Roman"/>
          <w:sz w:val="24"/>
          <w:szCs w:val="24"/>
        </w:rPr>
        <w:t>d</w:t>
      </w:r>
      <w:r w:rsidRPr="00116D0B">
        <w:rPr>
          <w:rFonts w:ascii="Garamond" w:eastAsia="Calibri" w:hAnsi="Garamond" w:cs="Times New Roman"/>
          <w:sz w:val="24"/>
          <w:szCs w:val="24"/>
        </w:rPr>
        <w:t>evelopment planning through inclusive and participatory approaches.</w:t>
      </w:r>
    </w:p>
    <w:p w14:paraId="5B6FA851" w14:textId="77777777" w:rsidR="002E025E" w:rsidRPr="00116D0B" w:rsidRDefault="002E025E" w:rsidP="00116D0B">
      <w:pPr>
        <w:widowControl/>
        <w:numPr>
          <w:ilvl w:val="0"/>
          <w:numId w:val="25"/>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Sector analysis across wards provided insights into critical issues, empowering community members to participate in discussions and decision-making.</w:t>
      </w:r>
    </w:p>
    <w:p w14:paraId="6599117A" w14:textId="77777777" w:rsidR="002E025E" w:rsidRPr="00116D0B" w:rsidRDefault="002E025E" w:rsidP="00116D0B">
      <w:pPr>
        <w:widowControl/>
        <w:numPr>
          <w:ilvl w:val="0"/>
          <w:numId w:val="25"/>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The project facilitated open dialogue and active participation, allowing community members to contribute meaningfully to the planning process.</w:t>
      </w:r>
    </w:p>
    <w:p w14:paraId="3C405E4C" w14:textId="77777777" w:rsidR="002E025E" w:rsidRPr="00116D0B" w:rsidRDefault="002E025E" w:rsidP="00116D0B">
      <w:pPr>
        <w:widowControl/>
        <w:numPr>
          <w:ilvl w:val="0"/>
          <w:numId w:val="25"/>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Capacity-building workshops equipped stakeholders with the skills and knowledge needed for inclusive planning.</w:t>
      </w:r>
    </w:p>
    <w:p w14:paraId="0C6E4F72"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Effectiveness</w:t>
      </w:r>
    </w:p>
    <w:p w14:paraId="7EEA86FA" w14:textId="77777777" w:rsidR="002E025E" w:rsidRPr="00116D0B" w:rsidRDefault="002E025E" w:rsidP="00116D0B">
      <w:pPr>
        <w:widowControl/>
        <w:numPr>
          <w:ilvl w:val="0"/>
          <w:numId w:val="26"/>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Tangible socioeconomic improvements were observed, including increased community cohesion and the integration of community priorities into official planning processes.</w:t>
      </w:r>
    </w:p>
    <w:p w14:paraId="0649185D" w14:textId="77777777" w:rsidR="002E025E" w:rsidRPr="00116D0B" w:rsidRDefault="002E025E" w:rsidP="00116D0B">
      <w:pPr>
        <w:widowControl/>
        <w:numPr>
          <w:ilvl w:val="0"/>
          <w:numId w:val="26"/>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Capacity-building efforts strengthened social cohesion, promoted inclusive planning, and enhanced monitoring and evaluation skills.</w:t>
      </w:r>
    </w:p>
    <w:p w14:paraId="3D385EDC" w14:textId="77777777" w:rsidR="002E025E" w:rsidRPr="00116D0B" w:rsidRDefault="002E025E" w:rsidP="00116D0B">
      <w:pPr>
        <w:widowControl/>
        <w:numPr>
          <w:ilvl w:val="0"/>
          <w:numId w:val="26"/>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WDSCs underwent training sessions, enabling them to drive meaningful change at the grassroots level and engage in effective advocacy and resource mobilization.</w:t>
      </w:r>
    </w:p>
    <w:p w14:paraId="369BE4CE" w14:textId="77777777" w:rsidR="002E025E" w:rsidRPr="00116D0B" w:rsidRDefault="002E025E" w:rsidP="00116D0B">
      <w:pPr>
        <w:widowControl/>
        <w:numPr>
          <w:ilvl w:val="0"/>
          <w:numId w:val="26"/>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The project fostered a multi-faceted approach to community development, ensuring active participation of local stakeholders and diversifying sources of support.</w:t>
      </w:r>
    </w:p>
    <w:p w14:paraId="15A5863C"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Impact</w:t>
      </w:r>
    </w:p>
    <w:p w14:paraId="0A1B65A5" w14:textId="77777777" w:rsidR="002E025E" w:rsidRPr="00116D0B" w:rsidRDefault="002E025E" w:rsidP="00116D0B">
      <w:pPr>
        <w:widowControl/>
        <w:numPr>
          <w:ilvl w:val="0"/>
          <w:numId w:val="27"/>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The project led to improved harmony and peace among community members, enhanced trust between communities and government institutions, and improved service quality and accessibility.</w:t>
      </w:r>
    </w:p>
    <w:p w14:paraId="5817271C" w14:textId="77777777" w:rsidR="002E025E" w:rsidRPr="00116D0B" w:rsidRDefault="002E025E" w:rsidP="00116D0B">
      <w:pPr>
        <w:widowControl/>
        <w:numPr>
          <w:ilvl w:val="0"/>
          <w:numId w:val="27"/>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Collaborative planning resulted in the integration of community priorities into official planning processes and ensured that services met local needs.</w:t>
      </w:r>
    </w:p>
    <w:p w14:paraId="0B44318B" w14:textId="77777777" w:rsidR="002E025E" w:rsidRPr="00116D0B" w:rsidRDefault="002E025E" w:rsidP="00116D0B">
      <w:pPr>
        <w:widowControl/>
        <w:numPr>
          <w:ilvl w:val="0"/>
          <w:numId w:val="27"/>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Continued engagement and training are expected to further embed a culture of community ownership of development initiatives, driving long-term development and cohesion.</w:t>
      </w:r>
    </w:p>
    <w:p w14:paraId="522D6934"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Cross-Cutting Issues</w:t>
      </w:r>
    </w:p>
    <w:p w14:paraId="3329C336" w14:textId="77777777" w:rsidR="002E025E" w:rsidRPr="00116D0B" w:rsidRDefault="002E025E" w:rsidP="00116D0B">
      <w:pPr>
        <w:widowControl/>
        <w:numPr>
          <w:ilvl w:val="0"/>
          <w:numId w:val="28"/>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The project promoted gender equality by ensuring equal opportunities for participation and decision-making for women and men and integrating gender perspectives into activities.</w:t>
      </w:r>
    </w:p>
    <w:p w14:paraId="6432C7DB" w14:textId="77777777" w:rsidR="002E025E" w:rsidRPr="00116D0B" w:rsidRDefault="002E025E" w:rsidP="00116D0B">
      <w:pPr>
        <w:widowControl/>
        <w:numPr>
          <w:ilvl w:val="0"/>
          <w:numId w:val="28"/>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Targeted strategies were implemented to ensure the meaningful participation and representation of vulnerable groups, contributing to more equitable and sustainable community development outcomes.</w:t>
      </w:r>
    </w:p>
    <w:p w14:paraId="397FCF13" w14:textId="77777777" w:rsidR="00AD2015" w:rsidRDefault="00AD2015" w:rsidP="00116D0B">
      <w:pPr>
        <w:widowControl/>
        <w:autoSpaceDE/>
        <w:autoSpaceDN/>
        <w:spacing w:before="240" w:after="240" w:line="276" w:lineRule="auto"/>
        <w:jc w:val="both"/>
        <w:rPr>
          <w:rFonts w:ascii="Garamond" w:eastAsia="Calibri" w:hAnsi="Garamond" w:cs="Times New Roman"/>
          <w:b/>
          <w:sz w:val="24"/>
          <w:szCs w:val="24"/>
        </w:rPr>
      </w:pPr>
    </w:p>
    <w:p w14:paraId="22CEA255" w14:textId="77777777" w:rsidR="00AD2015" w:rsidRDefault="00AD2015" w:rsidP="00116D0B">
      <w:pPr>
        <w:widowControl/>
        <w:autoSpaceDE/>
        <w:autoSpaceDN/>
        <w:spacing w:before="240" w:after="240" w:line="276" w:lineRule="auto"/>
        <w:jc w:val="both"/>
        <w:rPr>
          <w:rFonts w:ascii="Garamond" w:eastAsia="Calibri" w:hAnsi="Garamond" w:cs="Times New Roman"/>
          <w:b/>
          <w:sz w:val="24"/>
          <w:szCs w:val="24"/>
        </w:rPr>
      </w:pPr>
    </w:p>
    <w:p w14:paraId="0B2A0337" w14:textId="010B1FC6"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lastRenderedPageBreak/>
        <w:t>Sustainability</w:t>
      </w:r>
    </w:p>
    <w:p w14:paraId="65CA029C"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Community Ownership:</w:t>
      </w:r>
      <w:r w:rsidRPr="00116D0B">
        <w:rPr>
          <w:rFonts w:ascii="Garamond" w:eastAsia="Calibri" w:hAnsi="Garamond" w:cs="Times New Roman"/>
          <w:sz w:val="24"/>
          <w:szCs w:val="24"/>
        </w:rPr>
        <w:t xml:space="preserve"> Empowering communities to take ownership of their development processes ensures alignment with local priorities and enhances sustainability. Stakeholder buy-in, including from government stakeholders and civil society organizations, further supports sustainability through collaboration and consensus-building.</w:t>
      </w:r>
    </w:p>
    <w:p w14:paraId="11D30C44"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Endorsement of Traditional Leaders:</w:t>
      </w:r>
      <w:r w:rsidRPr="00116D0B">
        <w:rPr>
          <w:rFonts w:ascii="Garamond" w:eastAsia="Calibri" w:hAnsi="Garamond" w:cs="Times New Roman"/>
          <w:sz w:val="24"/>
          <w:szCs w:val="24"/>
        </w:rPr>
        <w:t xml:space="preserve"> Endorsement and commitment from traditional leaders add stability and oversight to the project, ensuring continuity and adherence to the development agenda set forth by the CDP.</w:t>
      </w:r>
    </w:p>
    <w:p w14:paraId="688A4E43"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Institutionalizing Participatory Engagement:</w:t>
      </w:r>
      <w:r w:rsidRPr="00116D0B">
        <w:rPr>
          <w:rFonts w:ascii="Garamond" w:eastAsia="Calibri" w:hAnsi="Garamond" w:cs="Times New Roman"/>
          <w:sz w:val="24"/>
          <w:szCs w:val="24"/>
        </w:rPr>
        <w:t xml:space="preserve"> Embedding participatory practices into the governance framework through established committees ensures sustainability beyond the project's duration.</w:t>
      </w:r>
    </w:p>
    <w:p w14:paraId="1CE95E12"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Development of CDP Documents:</w:t>
      </w:r>
      <w:r w:rsidRPr="00116D0B">
        <w:rPr>
          <w:rFonts w:ascii="Garamond" w:eastAsia="Calibri" w:hAnsi="Garamond" w:cs="Times New Roman"/>
          <w:sz w:val="24"/>
          <w:szCs w:val="24"/>
        </w:rPr>
        <w:t xml:space="preserve"> The CDP serves as a roadmap for development activities, while a robust monitoring and evaluation framework ensures alignment with community needs and progress tracking.</w:t>
      </w:r>
    </w:p>
    <w:p w14:paraId="3FCAAA70"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Training of LGA Officials:</w:t>
      </w:r>
      <w:r w:rsidRPr="00116D0B">
        <w:rPr>
          <w:rFonts w:ascii="Garamond" w:eastAsia="Calibri" w:hAnsi="Garamond" w:cs="Times New Roman"/>
          <w:sz w:val="24"/>
          <w:szCs w:val="24"/>
        </w:rPr>
        <w:t xml:space="preserve"> Equipping local government officials with skills in monitoring, evaluation, and budgeting ensures effective management and sustainability of development initiatives.</w:t>
      </w:r>
    </w:p>
    <w:p w14:paraId="5CF9529E" w14:textId="77777777" w:rsidR="002E025E" w:rsidRPr="00116D0B" w:rsidRDefault="002E025E" w:rsidP="00116D0B">
      <w:pPr>
        <w:widowControl/>
        <w:numPr>
          <w:ilvl w:val="0"/>
          <w:numId w:val="29"/>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Development of the Multisectoral CAP:</w:t>
      </w:r>
      <w:r w:rsidRPr="00116D0B">
        <w:rPr>
          <w:rFonts w:ascii="Garamond" w:eastAsia="Calibri" w:hAnsi="Garamond" w:cs="Times New Roman"/>
          <w:sz w:val="24"/>
          <w:szCs w:val="24"/>
        </w:rPr>
        <w:t xml:space="preserve"> The CAP provides a comprehensive implementation strategy, aligning resources and efforts towards achieving development goals.</w:t>
      </w:r>
    </w:p>
    <w:p w14:paraId="63E35F9F"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Lessons Learned</w:t>
      </w:r>
    </w:p>
    <w:p w14:paraId="24D84A01"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Empowerment of Communities: Empowering communities fosters active participation and sustainable development outcomes.</w:t>
      </w:r>
    </w:p>
    <w:p w14:paraId="189BC9C7"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Local Resource Utilization: Effective utilization of local resources challenges misconceptions about large budgets being essential for community development.</w:t>
      </w:r>
    </w:p>
    <w:p w14:paraId="2B98A0B9"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Adaptability and Flexibility: Tailoring strategies to local contexts and overcoming challenges through adaptability and flexibility ensures project success.</w:t>
      </w:r>
    </w:p>
    <w:p w14:paraId="195AB359"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Self-Help Projects: Encouraging self-help initiatives promotes sustainability and community ownership of development initiatives.</w:t>
      </w:r>
    </w:p>
    <w:p w14:paraId="479F2484"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Stakeholder Collaboration: Effective collaboration among stakeholders facilitates resource sharing, knowledge exchange, and collective problem-solving.</w:t>
      </w:r>
    </w:p>
    <w:p w14:paraId="3F48A4DC" w14:textId="77777777" w:rsidR="002E025E" w:rsidRPr="00116D0B" w:rsidRDefault="002E025E" w:rsidP="00116D0B">
      <w:pPr>
        <w:widowControl/>
        <w:numPr>
          <w:ilvl w:val="0"/>
          <w:numId w:val="30"/>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sz w:val="24"/>
          <w:szCs w:val="24"/>
        </w:rPr>
        <w:t>Importance of Awareness: Gender sensitivity training and awareness sessions address gender inequalities and promote inclusivity within project activities.</w:t>
      </w:r>
    </w:p>
    <w:p w14:paraId="60E95BA5"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Challenges</w:t>
      </w:r>
    </w:p>
    <w:p w14:paraId="736DACF8" w14:textId="77777777" w:rsidR="002E025E" w:rsidRPr="00116D0B" w:rsidRDefault="002E025E" w:rsidP="00116D0B">
      <w:pPr>
        <w:widowControl/>
        <w:numPr>
          <w:ilvl w:val="0"/>
          <w:numId w:val="31"/>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Resistance to Change and Apathy:</w:t>
      </w:r>
      <w:r w:rsidRPr="00116D0B">
        <w:rPr>
          <w:rFonts w:ascii="Garamond" w:eastAsia="Calibri" w:hAnsi="Garamond" w:cs="Times New Roman"/>
          <w:sz w:val="24"/>
          <w:szCs w:val="24"/>
        </w:rPr>
        <w:t xml:space="preserve"> Overcoming skepticism and resistance to change among community members required extensive engagement and education.</w:t>
      </w:r>
    </w:p>
    <w:p w14:paraId="519192BD" w14:textId="77777777" w:rsidR="002E025E" w:rsidRPr="00116D0B" w:rsidRDefault="002E025E" w:rsidP="00116D0B">
      <w:pPr>
        <w:widowControl/>
        <w:numPr>
          <w:ilvl w:val="0"/>
          <w:numId w:val="31"/>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Capacity Constraints of Officials:</w:t>
      </w:r>
      <w:r w:rsidRPr="00116D0B">
        <w:rPr>
          <w:rFonts w:ascii="Garamond" w:eastAsia="Calibri" w:hAnsi="Garamond" w:cs="Times New Roman"/>
          <w:sz w:val="24"/>
          <w:szCs w:val="24"/>
        </w:rPr>
        <w:t xml:space="preserve"> Differences in skill levels among local government officials posed challenges in understanding and implementing project objectives uniformly.</w:t>
      </w:r>
    </w:p>
    <w:p w14:paraId="58B7452F" w14:textId="77777777" w:rsidR="002E025E" w:rsidRPr="00116D0B" w:rsidRDefault="002E025E" w:rsidP="00116D0B">
      <w:pPr>
        <w:widowControl/>
        <w:numPr>
          <w:ilvl w:val="0"/>
          <w:numId w:val="31"/>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lastRenderedPageBreak/>
        <w:t>Interpersonal and Inter-Institutional Differences:</w:t>
      </w:r>
      <w:r w:rsidRPr="00116D0B">
        <w:rPr>
          <w:rFonts w:ascii="Garamond" w:eastAsia="Calibri" w:hAnsi="Garamond" w:cs="Times New Roman"/>
          <w:sz w:val="24"/>
          <w:szCs w:val="24"/>
        </w:rPr>
        <w:t xml:space="preserve"> Deep-seated differences among stakeholders created tensions during dialogue sessions, requiring mediation and consensus-building efforts.</w:t>
      </w:r>
    </w:p>
    <w:p w14:paraId="09E604D4" w14:textId="77777777" w:rsidR="002E025E" w:rsidRPr="00116D0B" w:rsidRDefault="002E025E" w:rsidP="00116D0B">
      <w:pPr>
        <w:widowControl/>
        <w:numPr>
          <w:ilvl w:val="0"/>
          <w:numId w:val="31"/>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Terrain and Security Challenges:</w:t>
      </w:r>
      <w:r w:rsidRPr="00116D0B">
        <w:rPr>
          <w:rFonts w:ascii="Garamond" w:eastAsia="Calibri" w:hAnsi="Garamond" w:cs="Times New Roman"/>
          <w:sz w:val="24"/>
          <w:szCs w:val="24"/>
        </w:rPr>
        <w:t xml:space="preserve"> Logistical challenges due to terrain and security risks necessitated meticulous planning and coordination with security agencies.</w:t>
      </w:r>
    </w:p>
    <w:p w14:paraId="5853E9F1" w14:textId="77777777" w:rsidR="002E025E" w:rsidRPr="00116D0B" w:rsidRDefault="002E025E" w:rsidP="00116D0B">
      <w:pPr>
        <w:widowControl/>
        <w:numPr>
          <w:ilvl w:val="0"/>
          <w:numId w:val="31"/>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Turnover of Political Office Holders:</w:t>
      </w:r>
      <w:r w:rsidRPr="00116D0B">
        <w:rPr>
          <w:rFonts w:ascii="Garamond" w:eastAsia="Calibri" w:hAnsi="Garamond" w:cs="Times New Roman"/>
          <w:sz w:val="24"/>
          <w:szCs w:val="24"/>
        </w:rPr>
        <w:t xml:space="preserve"> The turnover of political office holders threatened project continuity, requiring proactive engagement with incoming officials and knowledge transfer measures.</w:t>
      </w:r>
    </w:p>
    <w:p w14:paraId="2642B3D8" w14:textId="77777777" w:rsidR="00116D0B" w:rsidRPr="00116D0B" w:rsidRDefault="00116D0B" w:rsidP="00116D0B">
      <w:pPr>
        <w:widowControl/>
        <w:autoSpaceDE/>
        <w:autoSpaceDN/>
        <w:spacing w:before="240" w:after="240"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Summary of findings on the demographic characteristics of respondents</w:t>
      </w:r>
    </w:p>
    <w:p w14:paraId="67FA3185"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Gender Distribution:</w:t>
      </w:r>
      <w:r w:rsidRPr="00116D0B">
        <w:rPr>
          <w:rFonts w:ascii="Garamond" w:eastAsia="Calibri" w:hAnsi="Garamond" w:cs="Times New Roman"/>
          <w:sz w:val="24"/>
          <w:szCs w:val="24"/>
        </w:rPr>
        <w:t xml:space="preserve"> The survey included 415 respondents, with a slight majority of males (53.3%) compared to females (46.7%), indicating a relatively balanced representation.</w:t>
      </w:r>
    </w:p>
    <w:p w14:paraId="044AA32C"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Age Distribution:</w:t>
      </w:r>
      <w:r w:rsidRPr="00116D0B">
        <w:rPr>
          <w:rFonts w:ascii="Garamond" w:eastAsia="Calibri" w:hAnsi="Garamond" w:cs="Times New Roman"/>
          <w:sz w:val="24"/>
          <w:szCs w:val="24"/>
        </w:rPr>
        <w:t xml:space="preserve"> The majority of respondents (55.2%) were between 36-60 years old, with young adults (18-35 years) comprising 36% and those above 60 years old constituting 18.2%.</w:t>
      </w:r>
    </w:p>
    <w:p w14:paraId="3E627905"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Marital Status:</w:t>
      </w:r>
      <w:r w:rsidRPr="00116D0B">
        <w:rPr>
          <w:rFonts w:ascii="Garamond" w:eastAsia="Calibri" w:hAnsi="Garamond" w:cs="Times New Roman"/>
          <w:sz w:val="24"/>
          <w:szCs w:val="24"/>
        </w:rPr>
        <w:t xml:space="preserve"> Most respondents (71.1%) were married, while single individuals accounted for 18.6%, widowed 6.0%, divorced 3.1%, and separated 1.2%.</w:t>
      </w:r>
    </w:p>
    <w:p w14:paraId="62C98AD5"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Educational Attainment:</w:t>
      </w:r>
      <w:r w:rsidRPr="00116D0B">
        <w:rPr>
          <w:rFonts w:ascii="Garamond" w:eastAsia="Calibri" w:hAnsi="Garamond" w:cs="Times New Roman"/>
          <w:sz w:val="24"/>
          <w:szCs w:val="24"/>
        </w:rPr>
        <w:t xml:space="preserve"> The majority had completed secondary education (42.7%), followed by primary education (19.5%) and university/college education (19.5%). Only 7.5% had no formal education.</w:t>
      </w:r>
    </w:p>
    <w:p w14:paraId="68DFFB4C"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Ethnic Composition:</w:t>
      </w:r>
      <w:r w:rsidRPr="00116D0B">
        <w:rPr>
          <w:rFonts w:ascii="Garamond" w:eastAsia="Calibri" w:hAnsi="Garamond" w:cs="Times New Roman"/>
          <w:sz w:val="24"/>
          <w:szCs w:val="24"/>
        </w:rPr>
        <w:t xml:space="preserve"> The Higgi ethnic group constituted the majority (95.9%), with Hausa, Margi, and Fulani collectively accounting for an average of 1.2%.</w:t>
      </w:r>
    </w:p>
    <w:p w14:paraId="73B87E5A"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Religious Affiliation:</w:t>
      </w:r>
      <w:r w:rsidRPr="00116D0B">
        <w:rPr>
          <w:rFonts w:ascii="Garamond" w:eastAsia="Calibri" w:hAnsi="Garamond" w:cs="Times New Roman"/>
          <w:sz w:val="24"/>
          <w:szCs w:val="24"/>
        </w:rPr>
        <w:t xml:space="preserve"> Christianity was predominant (96.1%) across all ethnic groups, with Islam representing only 3.9%.</w:t>
      </w:r>
    </w:p>
    <w:p w14:paraId="07D44A8B"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Disability Status:</w:t>
      </w:r>
      <w:r w:rsidRPr="00116D0B">
        <w:rPr>
          <w:rFonts w:ascii="Garamond" w:eastAsia="Calibri" w:hAnsi="Garamond" w:cs="Times New Roman"/>
          <w:sz w:val="24"/>
          <w:szCs w:val="24"/>
        </w:rPr>
        <w:t xml:space="preserve"> The majority (92.5%) did not consider themselves physically disabled.</w:t>
      </w:r>
    </w:p>
    <w:p w14:paraId="763C761B"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Spoken Language:</w:t>
      </w:r>
      <w:r w:rsidRPr="00116D0B">
        <w:rPr>
          <w:rFonts w:ascii="Garamond" w:eastAsia="Calibri" w:hAnsi="Garamond" w:cs="Times New Roman"/>
          <w:sz w:val="24"/>
          <w:szCs w:val="24"/>
        </w:rPr>
        <w:t xml:space="preserve"> Higgi and Hausa were the most common languages spoken, with English spoken by 12.1% of respondents.</w:t>
      </w:r>
    </w:p>
    <w:p w14:paraId="088BF22F" w14:textId="77777777" w:rsidR="002E025E" w:rsidRPr="00116D0B" w:rsidRDefault="002E025E" w:rsidP="00116D0B">
      <w:pPr>
        <w:widowControl/>
        <w:numPr>
          <w:ilvl w:val="0"/>
          <w:numId w:val="32"/>
        </w:numPr>
        <w:autoSpaceDE/>
        <w:autoSpaceDN/>
        <w:spacing w:before="240" w:after="240" w:line="276" w:lineRule="auto"/>
        <w:contextualSpacing/>
        <w:jc w:val="both"/>
        <w:rPr>
          <w:rFonts w:ascii="Garamond" w:eastAsia="Calibri" w:hAnsi="Garamond" w:cs="Times New Roman"/>
          <w:sz w:val="24"/>
          <w:szCs w:val="24"/>
        </w:rPr>
      </w:pPr>
      <w:r w:rsidRPr="00116D0B">
        <w:rPr>
          <w:rFonts w:ascii="Garamond" w:eastAsia="Calibri" w:hAnsi="Garamond" w:cs="Times New Roman"/>
          <w:b/>
          <w:sz w:val="24"/>
          <w:szCs w:val="24"/>
        </w:rPr>
        <w:t>Occupation:</w:t>
      </w:r>
      <w:r w:rsidRPr="00116D0B">
        <w:rPr>
          <w:rFonts w:ascii="Garamond" w:eastAsia="Calibri" w:hAnsi="Garamond" w:cs="Times New Roman"/>
          <w:sz w:val="24"/>
          <w:szCs w:val="24"/>
        </w:rPr>
        <w:t xml:space="preserve"> Farming was the primary occupation (69.8%), followed by trading (8.3%) and other diverse livelihoods such as civil service, teaching, and animal rearing.</w:t>
      </w:r>
    </w:p>
    <w:p w14:paraId="7BD698A9" w14:textId="77777777" w:rsidR="00116D0B" w:rsidRPr="00116D0B" w:rsidRDefault="00116D0B" w:rsidP="00FC4420">
      <w:pPr>
        <w:pStyle w:val="Heading2"/>
        <w:rPr>
          <w:rFonts w:eastAsia="Calibri"/>
        </w:rPr>
      </w:pPr>
      <w:bookmarkStart w:id="10" w:name="_Toc166704783"/>
      <w:bookmarkStart w:id="11" w:name="_Toc166775403"/>
      <w:r w:rsidRPr="00116D0B">
        <w:rPr>
          <w:rFonts w:eastAsia="Calibri"/>
        </w:rPr>
        <w:t>Recommendations</w:t>
      </w:r>
      <w:bookmarkEnd w:id="10"/>
      <w:bookmarkEnd w:id="11"/>
    </w:p>
    <w:p w14:paraId="72AB964F" w14:textId="77777777" w:rsidR="00116D0B" w:rsidRPr="00116D0B" w:rsidRDefault="00116D0B" w:rsidP="00116D0B">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Based on the findings of the evaluation, the following recommendations have been proposed to ensure the sustainability of the project outcome and guide future programming</w:t>
      </w:r>
    </w:p>
    <w:p w14:paraId="3BB24BE9" w14:textId="41E8674F" w:rsidR="00116D0B" w:rsidRPr="00116D0B" w:rsidRDefault="00116D0B" w:rsidP="00116D0B">
      <w:pPr>
        <w:widowControl/>
        <w:numPr>
          <w:ilvl w:val="0"/>
          <w:numId w:val="33"/>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Thorough Terrain Analysis for Effective Project Planning: </w:t>
      </w:r>
      <w:r w:rsidR="00D3181B">
        <w:rPr>
          <w:rFonts w:ascii="Garamond" w:eastAsia="Calibri" w:hAnsi="Garamond" w:cs="Times New Roman"/>
          <w:sz w:val="24"/>
          <w:szCs w:val="24"/>
        </w:rPr>
        <w:t>Implementers should p</w:t>
      </w:r>
      <w:r w:rsidRPr="00116D0B">
        <w:rPr>
          <w:rFonts w:ascii="Garamond" w:eastAsia="Calibri" w:hAnsi="Garamond" w:cs="Times New Roman"/>
          <w:sz w:val="24"/>
          <w:szCs w:val="24"/>
        </w:rPr>
        <w:t>rioritize conducting thorough terrain analysis and understanding the geographic challenges of the community before implementing future projects. This will enable better planning and resource allocation to navigate difficult terrains, ensuring smoother project implementation and accessibility to all target areas.</w:t>
      </w:r>
    </w:p>
    <w:p w14:paraId="4217032F" w14:textId="77777777" w:rsidR="00116D0B" w:rsidRPr="00116D0B" w:rsidRDefault="00116D0B" w:rsidP="00116D0B">
      <w:pPr>
        <w:widowControl/>
        <w:numPr>
          <w:ilvl w:val="0"/>
          <w:numId w:val="33"/>
        </w:numPr>
        <w:autoSpaceDE/>
        <w:autoSpaceDN/>
        <w:spacing w:after="160" w:line="259" w:lineRule="auto"/>
        <w:jc w:val="both"/>
        <w:rPr>
          <w:rFonts w:ascii="Garamond" w:eastAsia="Calibri" w:hAnsi="Garamond" w:cs="Times New Roman"/>
          <w:sz w:val="24"/>
          <w:szCs w:val="24"/>
        </w:rPr>
      </w:pPr>
      <w:r w:rsidRPr="00116D0B">
        <w:rPr>
          <w:rFonts w:ascii="Garamond" w:eastAsia="Calibri" w:hAnsi="Garamond" w:cs="Times New Roman"/>
          <w:b/>
          <w:sz w:val="24"/>
          <w:szCs w:val="24"/>
        </w:rPr>
        <w:t xml:space="preserve">Cluster Meetings for Hard-to-Reach Communities: </w:t>
      </w:r>
      <w:r w:rsidRPr="00116D0B">
        <w:rPr>
          <w:rFonts w:ascii="Garamond" w:eastAsia="Calibri" w:hAnsi="Garamond" w:cs="Times New Roman"/>
          <w:sz w:val="24"/>
          <w:szCs w:val="24"/>
        </w:rPr>
        <w:t xml:space="preserve">Implement cluster meetings for hard-to-reach communities to improve accessibility and engagement. By grouping together communities </w:t>
      </w:r>
      <w:r w:rsidRPr="00116D0B">
        <w:rPr>
          <w:rFonts w:ascii="Garamond" w:eastAsia="Calibri" w:hAnsi="Garamond" w:cs="Times New Roman"/>
          <w:sz w:val="24"/>
          <w:szCs w:val="24"/>
        </w:rPr>
        <w:lastRenderedPageBreak/>
        <w:t>facing similar geographic challenges, resources can be utilized more efficiently, enabling comprehensive outreach efforts and ensuring that no community is left behind in project activities.</w:t>
      </w:r>
    </w:p>
    <w:p w14:paraId="07E1FE3D" w14:textId="77777777" w:rsidR="00116D0B" w:rsidRPr="00116D0B" w:rsidRDefault="00116D0B" w:rsidP="00116D0B">
      <w:pPr>
        <w:widowControl/>
        <w:numPr>
          <w:ilvl w:val="0"/>
          <w:numId w:val="33"/>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Knowledge Transfer Mechanism for Political Office Holders</w:t>
      </w:r>
    </w:p>
    <w:p w14:paraId="03E32DAD" w14:textId="77777777" w:rsidR="00116D0B" w:rsidRPr="00116D0B" w:rsidRDefault="00116D0B" w:rsidP="00757A6C">
      <w:pPr>
        <w:widowControl/>
        <w:autoSpaceDE/>
        <w:autoSpaceDN/>
        <w:spacing w:after="160" w:line="259" w:lineRule="auto"/>
        <w:ind w:left="720"/>
        <w:jc w:val="both"/>
        <w:rPr>
          <w:rFonts w:ascii="Garamond" w:eastAsia="Calibri" w:hAnsi="Garamond" w:cs="Times New Roman"/>
          <w:sz w:val="24"/>
          <w:szCs w:val="24"/>
        </w:rPr>
      </w:pPr>
      <w:r w:rsidRPr="00116D0B">
        <w:rPr>
          <w:rFonts w:ascii="Garamond" w:eastAsia="Calibri" w:hAnsi="Garamond" w:cs="Times New Roman"/>
          <w:sz w:val="24"/>
          <w:szCs w:val="24"/>
        </w:rPr>
        <w:t>Establish a formal knowledge transfer mechanism between outgoing and incoming political office holders to ensure continuity and understanding of the project's objectives and processes. This could involve structured orientation sessions for new officials, facilitated by project staff and supported by outgoing leaders. By institutionalizing this practice, the project can safeguard against disruptions due to political transitions, ensuring sustained impact and community development.</w:t>
      </w:r>
    </w:p>
    <w:p w14:paraId="3D5BEC36" w14:textId="77777777" w:rsidR="00116D0B" w:rsidRPr="00116D0B" w:rsidRDefault="00116D0B" w:rsidP="00116D0B">
      <w:pPr>
        <w:widowControl/>
        <w:numPr>
          <w:ilvl w:val="0"/>
          <w:numId w:val="33"/>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Skills Appraisal and Capacity Building for Local Government Officials: </w:t>
      </w:r>
      <w:r w:rsidRPr="00116D0B">
        <w:rPr>
          <w:rFonts w:ascii="Garamond" w:eastAsia="Calibri" w:hAnsi="Garamond" w:cs="Times New Roman"/>
          <w:sz w:val="24"/>
          <w:szCs w:val="24"/>
        </w:rPr>
        <w:t>Future programming should involve skills appraisal and gap analysis of local government officials to identify areas where capacity-building interventions are needed. This process will help in addressing the challenges posed by poor capacity among officials, particularly administrative staff, as highlighted in the project findings.</w:t>
      </w:r>
    </w:p>
    <w:p w14:paraId="0A81AD76" w14:textId="42FB6322" w:rsidR="00116D0B" w:rsidRPr="00116D0B" w:rsidRDefault="00116D0B" w:rsidP="00116D0B">
      <w:pPr>
        <w:widowControl/>
        <w:numPr>
          <w:ilvl w:val="0"/>
          <w:numId w:val="33"/>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Oversight Functions for Sustained Effectiveness of WDSCs: </w:t>
      </w:r>
      <w:r w:rsidRPr="00116D0B">
        <w:rPr>
          <w:rFonts w:ascii="Garamond" w:eastAsia="Calibri" w:hAnsi="Garamond" w:cs="Times New Roman"/>
          <w:sz w:val="24"/>
          <w:szCs w:val="24"/>
        </w:rPr>
        <w:t>Performing oversight functions beyond the project lifecycle on the activities of WDSCs is crucial to ensure their sustained effectiveness and alignment with project objectives. This oversight involves continuous monitoring, evaluation, and support to keep the WDSCs on course even after the project's conclusion.</w:t>
      </w:r>
    </w:p>
    <w:p w14:paraId="2BE8332D" w14:textId="77777777" w:rsidR="00116D0B" w:rsidRPr="00116D0B" w:rsidRDefault="00116D0B" w:rsidP="00116D0B">
      <w:pPr>
        <w:widowControl/>
        <w:autoSpaceDE/>
        <w:autoSpaceDN/>
        <w:spacing w:after="160" w:line="259" w:lineRule="auto"/>
        <w:jc w:val="both"/>
        <w:rPr>
          <w:rFonts w:ascii="Garamond" w:eastAsia="Calibri" w:hAnsi="Garamond" w:cs="Times New Roman"/>
          <w:sz w:val="24"/>
          <w:szCs w:val="24"/>
        </w:rPr>
      </w:pPr>
    </w:p>
    <w:p w14:paraId="138581BF" w14:textId="77777777" w:rsidR="00116D0B" w:rsidRPr="00116D0B" w:rsidRDefault="00116D0B">
      <w:pPr>
        <w:rPr>
          <w:rFonts w:ascii="Garamond" w:hAnsi="Garamond"/>
          <w:b/>
          <w:bCs/>
          <w:color w:val="92D050"/>
          <w:sz w:val="24"/>
          <w:szCs w:val="24"/>
        </w:rPr>
      </w:pPr>
      <w:r w:rsidRPr="00116D0B">
        <w:rPr>
          <w:rFonts w:ascii="Garamond" w:hAnsi="Garamond"/>
          <w:sz w:val="24"/>
          <w:szCs w:val="24"/>
        </w:rPr>
        <w:br w:type="page"/>
      </w:r>
    </w:p>
    <w:p w14:paraId="4E4AD47F" w14:textId="7D572724" w:rsidR="0073762A" w:rsidRPr="00116D0B" w:rsidRDefault="0073762A" w:rsidP="0073762A">
      <w:pPr>
        <w:pStyle w:val="Heading1"/>
      </w:pPr>
      <w:bookmarkStart w:id="12" w:name="_Toc166775404"/>
      <w:r w:rsidRPr="00116D0B">
        <w:lastRenderedPageBreak/>
        <w:t>1.0</w:t>
      </w:r>
      <w:r w:rsidRPr="00116D0B">
        <w:tab/>
        <w:t>INTRODUCTION</w:t>
      </w:r>
      <w:bookmarkEnd w:id="12"/>
    </w:p>
    <w:p w14:paraId="27C6E348" w14:textId="2E15FE4B"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 xml:space="preserve">The conflict with </w:t>
      </w:r>
      <w:proofErr w:type="spellStart"/>
      <w:r w:rsidRPr="00116D0B">
        <w:rPr>
          <w:rFonts w:ascii="Garamond" w:hAnsi="Garamond"/>
        </w:rPr>
        <w:t>Jama’atu</w:t>
      </w:r>
      <w:proofErr w:type="spellEnd"/>
      <w:r w:rsidRPr="00116D0B">
        <w:rPr>
          <w:rFonts w:ascii="Garamond" w:hAnsi="Garamond"/>
        </w:rPr>
        <w:t xml:space="preserve"> Ahlis Sunna </w:t>
      </w:r>
      <w:proofErr w:type="spellStart"/>
      <w:r w:rsidRPr="00116D0B">
        <w:rPr>
          <w:rFonts w:ascii="Garamond" w:hAnsi="Garamond"/>
        </w:rPr>
        <w:t>Lidda’awati</w:t>
      </w:r>
      <w:proofErr w:type="spellEnd"/>
      <w:r w:rsidRPr="00116D0B">
        <w:rPr>
          <w:rFonts w:ascii="Garamond" w:hAnsi="Garamond"/>
        </w:rPr>
        <w:t xml:space="preserve"> Wal-Jihad, popularly known as Boko Haram, and the subsequent military operations in North-East Nigeria have impacted about 15 million people since 2009. Beginning in 2014, the fighting escalated significantly, resulting in an estimated 20,000 fatalities and 1.8 million displaced individuals. The remainder of the displaced people are dispersed throughout Northern and Central Nigeria, with a large portion remaining inside the three conflict-affected states of Borno, Adamawa, and Yobe. More than 170,000 people have fled to nearby countries. An estimated 3 million people—59% of them </w:t>
      </w:r>
      <w:r w:rsidR="000276C0">
        <w:rPr>
          <w:rFonts w:ascii="Garamond" w:hAnsi="Garamond"/>
        </w:rPr>
        <w:t>being</w:t>
      </w:r>
      <w:r w:rsidRPr="00116D0B">
        <w:rPr>
          <w:rFonts w:ascii="Garamond" w:hAnsi="Garamond"/>
        </w:rPr>
        <w:t xml:space="preserve"> children—are internally displaced in the north</w:t>
      </w:r>
      <w:r w:rsidR="000276C0">
        <w:rPr>
          <w:rFonts w:ascii="Garamond" w:hAnsi="Garamond"/>
        </w:rPr>
        <w:t xml:space="preserve"> </w:t>
      </w:r>
      <w:r w:rsidRPr="00116D0B">
        <w:rPr>
          <w:rFonts w:ascii="Garamond" w:hAnsi="Garamond"/>
        </w:rPr>
        <w:t>eastern Nigerian states of Borno, Adamawa, and Yobe; the north</w:t>
      </w:r>
      <w:r w:rsidR="000276C0">
        <w:rPr>
          <w:rFonts w:ascii="Garamond" w:hAnsi="Garamond"/>
        </w:rPr>
        <w:t xml:space="preserve"> </w:t>
      </w:r>
      <w:r w:rsidRPr="00116D0B">
        <w:rPr>
          <w:rFonts w:ascii="Garamond" w:hAnsi="Garamond"/>
        </w:rPr>
        <w:t xml:space="preserve">western states of Sokoto, Zamfara, and Katsina; and the north-central state of Benue. </w:t>
      </w:r>
      <w:r w:rsidRPr="00116D0B">
        <w:rPr>
          <w:rFonts w:ascii="Garamond" w:hAnsi="Garamond"/>
          <w:bCs/>
        </w:rPr>
        <w:t>Statistics records that 13.33% of IDPs in the zone are displaced by communal clashes, 0.99% by natural disaster and 85.68% of displacement is because of Boko Haram insurgence</w:t>
      </w:r>
      <w:r w:rsidRPr="00116D0B">
        <w:rPr>
          <w:rFonts w:ascii="Garamond" w:hAnsi="Garamond"/>
          <w:bCs/>
          <w:vertAlign w:val="superscript"/>
        </w:rPr>
        <w:footnoteReference w:id="1"/>
      </w:r>
      <w:r w:rsidRPr="00116D0B">
        <w:rPr>
          <w:rFonts w:ascii="Garamond" w:hAnsi="Garamond"/>
          <w:bCs/>
        </w:rPr>
        <w:t xml:space="preserve">. </w:t>
      </w:r>
    </w:p>
    <w:p w14:paraId="1409FE27" w14:textId="2E0F4FD6"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The human, social, and economic losses of the conflict, and the consequent need of investment for recovery, peace building, and reconstruction of the North-East, are overwhelming. Damage to education and health facilities, and at</w:t>
      </w:r>
      <w:r w:rsidR="00004594" w:rsidRPr="00116D0B">
        <w:rPr>
          <w:rFonts w:ascii="Garamond" w:hAnsi="Garamond"/>
        </w:rPr>
        <w:t>tacks on markets and farms, clo</w:t>
      </w:r>
      <w:r w:rsidRPr="00116D0B">
        <w:rPr>
          <w:rFonts w:ascii="Garamond" w:hAnsi="Garamond"/>
        </w:rPr>
        <w:t>sure of cattle markets, and restricted access to lands with consequent negative impact on livelihoods, are adversely affecting the developmental outcomes of an entire generation. The conflict has triggered a humanitarian crisis, with increasing food insecurity, and increasing pressure on already overstretched and damaged basic social services. This has exacerbated already existing socioeconomic disparities in the North-East, further straining a population already among the most underdeveloped and vulnerable in the country. Furthermore, social cohesion has been deeply eroded, and with social interaction becoming increasingly challenging in an atmosphere of violence which has followed, due to communal, property and land disputes, and retaliation for conflict-related violence.</w:t>
      </w:r>
    </w:p>
    <w:p w14:paraId="5E67CC19" w14:textId="77777777" w:rsidR="0073762A" w:rsidRPr="00116D0B" w:rsidRDefault="0073762A" w:rsidP="00C3723C">
      <w:pPr>
        <w:pStyle w:val="BodyText"/>
        <w:spacing w:before="240" w:after="240" w:line="276" w:lineRule="auto"/>
        <w:ind w:right="216"/>
        <w:jc w:val="both"/>
        <w:rPr>
          <w:rFonts w:ascii="Garamond" w:hAnsi="Garamond"/>
        </w:rPr>
      </w:pPr>
      <w:r w:rsidRPr="00116D0B">
        <w:rPr>
          <w:rFonts w:ascii="Garamond" w:hAnsi="Garamond"/>
        </w:rPr>
        <w:t>Due to the constant violence and conflict in the region, there has been an influx of IDPs which has strained</w:t>
      </w:r>
      <w:r w:rsidRPr="00116D0B">
        <w:rPr>
          <w:rFonts w:ascii="Garamond" w:hAnsi="Garamond"/>
          <w:spacing w:val="1"/>
        </w:rPr>
        <w:t xml:space="preserve"> </w:t>
      </w:r>
      <w:r w:rsidRPr="00116D0B">
        <w:rPr>
          <w:rFonts w:ascii="Garamond" w:hAnsi="Garamond"/>
        </w:rPr>
        <w:t>resources in host communities where they face uncertainty for their future, as they have</w:t>
      </w:r>
      <w:r w:rsidRPr="00116D0B">
        <w:rPr>
          <w:rFonts w:ascii="Garamond" w:hAnsi="Garamond"/>
          <w:spacing w:val="1"/>
        </w:rPr>
        <w:t xml:space="preserve"> </w:t>
      </w:r>
      <w:r w:rsidRPr="00116D0B">
        <w:rPr>
          <w:rFonts w:ascii="Garamond" w:hAnsi="Garamond"/>
        </w:rPr>
        <w:t>urgent</w:t>
      </w:r>
      <w:r w:rsidRPr="00116D0B">
        <w:rPr>
          <w:rFonts w:ascii="Garamond" w:hAnsi="Garamond"/>
          <w:spacing w:val="1"/>
        </w:rPr>
        <w:t xml:space="preserve"> </w:t>
      </w:r>
      <w:r w:rsidRPr="00116D0B">
        <w:rPr>
          <w:rFonts w:ascii="Garamond" w:hAnsi="Garamond"/>
        </w:rPr>
        <w:t>needs</w:t>
      </w:r>
      <w:r w:rsidRPr="00116D0B">
        <w:rPr>
          <w:rFonts w:ascii="Garamond" w:hAnsi="Garamond"/>
          <w:spacing w:val="1"/>
        </w:rPr>
        <w:t xml:space="preserve"> </w:t>
      </w:r>
      <w:r w:rsidRPr="00116D0B">
        <w:rPr>
          <w:rFonts w:ascii="Garamond" w:hAnsi="Garamond"/>
        </w:rPr>
        <w:t>which</w:t>
      </w:r>
      <w:r w:rsidRPr="00116D0B">
        <w:rPr>
          <w:rFonts w:ascii="Garamond" w:hAnsi="Garamond"/>
          <w:spacing w:val="1"/>
        </w:rPr>
        <w:t xml:space="preserve"> </w:t>
      </w:r>
      <w:r w:rsidRPr="00116D0B">
        <w:rPr>
          <w:rFonts w:ascii="Garamond" w:hAnsi="Garamond"/>
        </w:rPr>
        <w:t>include</w:t>
      </w:r>
      <w:r w:rsidRPr="00116D0B">
        <w:rPr>
          <w:rFonts w:ascii="Garamond" w:hAnsi="Garamond"/>
          <w:spacing w:val="1"/>
        </w:rPr>
        <w:t xml:space="preserve"> </w:t>
      </w:r>
      <w:r w:rsidRPr="00116D0B">
        <w:rPr>
          <w:rFonts w:ascii="Garamond" w:hAnsi="Garamond"/>
        </w:rPr>
        <w:t>food,</w:t>
      </w:r>
      <w:r w:rsidRPr="00116D0B">
        <w:rPr>
          <w:rFonts w:ascii="Garamond" w:hAnsi="Garamond"/>
          <w:spacing w:val="1"/>
        </w:rPr>
        <w:t xml:space="preserve"> </w:t>
      </w:r>
      <w:r w:rsidRPr="00116D0B">
        <w:rPr>
          <w:rFonts w:ascii="Garamond" w:hAnsi="Garamond"/>
        </w:rPr>
        <w:t>healthcare,</w:t>
      </w:r>
      <w:r w:rsidRPr="00116D0B">
        <w:rPr>
          <w:rFonts w:ascii="Garamond" w:hAnsi="Garamond"/>
          <w:spacing w:val="1"/>
        </w:rPr>
        <w:t xml:space="preserve"> </w:t>
      </w:r>
      <w:r w:rsidRPr="00116D0B">
        <w:rPr>
          <w:rFonts w:ascii="Garamond" w:hAnsi="Garamond"/>
        </w:rPr>
        <w:t>protection,</w:t>
      </w:r>
      <w:r w:rsidRPr="00116D0B">
        <w:rPr>
          <w:rFonts w:ascii="Garamond" w:hAnsi="Garamond"/>
          <w:spacing w:val="1"/>
        </w:rPr>
        <w:t xml:space="preserve"> </w:t>
      </w:r>
      <w:r w:rsidRPr="00116D0B">
        <w:rPr>
          <w:rFonts w:ascii="Garamond" w:hAnsi="Garamond"/>
        </w:rPr>
        <w:t>WASH</w:t>
      </w:r>
      <w:r w:rsidRPr="00116D0B">
        <w:rPr>
          <w:rFonts w:ascii="Garamond" w:hAnsi="Garamond"/>
          <w:spacing w:val="1"/>
        </w:rPr>
        <w:t xml:space="preserve"> </w:t>
      </w:r>
      <w:r w:rsidRPr="00116D0B">
        <w:rPr>
          <w:rFonts w:ascii="Garamond" w:hAnsi="Garamond"/>
        </w:rPr>
        <w:t>services,</w:t>
      </w:r>
      <w:r w:rsidRPr="00116D0B">
        <w:rPr>
          <w:rFonts w:ascii="Garamond" w:hAnsi="Garamond"/>
          <w:spacing w:val="1"/>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psychosocial support. It is mostly challenging for IDPs to settle in host communities.</w:t>
      </w:r>
      <w:r w:rsidRPr="00116D0B">
        <w:rPr>
          <w:rFonts w:ascii="Garamond" w:hAnsi="Garamond"/>
          <w:spacing w:val="1"/>
        </w:rPr>
        <w:t xml:space="preserve"> </w:t>
      </w:r>
      <w:r w:rsidRPr="00116D0B">
        <w:rPr>
          <w:rFonts w:ascii="Garamond" w:hAnsi="Garamond"/>
        </w:rPr>
        <w:t>They face significant challenges when adapting to their new environment after being</w:t>
      </w:r>
      <w:r w:rsidRPr="00116D0B">
        <w:rPr>
          <w:rFonts w:ascii="Garamond" w:hAnsi="Garamond"/>
          <w:spacing w:val="1"/>
        </w:rPr>
        <w:t xml:space="preserve"> </w:t>
      </w:r>
      <w:r w:rsidRPr="00116D0B">
        <w:rPr>
          <w:rFonts w:ascii="Garamond" w:hAnsi="Garamond"/>
        </w:rPr>
        <w:t>forced</w:t>
      </w:r>
      <w:r w:rsidRPr="00116D0B">
        <w:rPr>
          <w:rFonts w:ascii="Garamond" w:hAnsi="Garamond"/>
          <w:spacing w:val="1"/>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flee</w:t>
      </w:r>
      <w:r w:rsidRPr="00116D0B">
        <w:rPr>
          <w:rFonts w:ascii="Garamond" w:hAnsi="Garamond"/>
          <w:spacing w:val="1"/>
        </w:rPr>
        <w:t xml:space="preserve"> </w:t>
      </w:r>
      <w:r w:rsidRPr="00116D0B">
        <w:rPr>
          <w:rFonts w:ascii="Garamond" w:hAnsi="Garamond"/>
        </w:rPr>
        <w:t>their</w:t>
      </w:r>
      <w:r w:rsidRPr="00116D0B">
        <w:rPr>
          <w:rFonts w:ascii="Garamond" w:hAnsi="Garamond"/>
          <w:spacing w:val="1"/>
        </w:rPr>
        <w:t xml:space="preserve"> </w:t>
      </w:r>
      <w:r w:rsidRPr="00116D0B">
        <w:rPr>
          <w:rFonts w:ascii="Garamond" w:hAnsi="Garamond"/>
        </w:rPr>
        <w:t>homes.</w:t>
      </w:r>
      <w:r w:rsidRPr="00116D0B">
        <w:rPr>
          <w:rFonts w:ascii="Garamond" w:hAnsi="Garamond"/>
          <w:spacing w:val="1"/>
        </w:rPr>
        <w:t xml:space="preserve"> </w:t>
      </w:r>
      <w:r w:rsidRPr="00116D0B">
        <w:rPr>
          <w:rFonts w:ascii="Garamond" w:hAnsi="Garamond"/>
        </w:rPr>
        <w:t>Some</w:t>
      </w:r>
      <w:r w:rsidRPr="00116D0B">
        <w:rPr>
          <w:rFonts w:ascii="Garamond" w:hAnsi="Garamond"/>
          <w:spacing w:val="1"/>
        </w:rPr>
        <w:t xml:space="preserve"> </w:t>
      </w:r>
      <w:r w:rsidRPr="00116D0B">
        <w:rPr>
          <w:rFonts w:ascii="Garamond" w:hAnsi="Garamond"/>
        </w:rPr>
        <w:t>of</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difficulties</w:t>
      </w:r>
      <w:r w:rsidRPr="00116D0B">
        <w:rPr>
          <w:rFonts w:ascii="Garamond" w:hAnsi="Garamond"/>
          <w:spacing w:val="1"/>
        </w:rPr>
        <w:t xml:space="preserve"> </w:t>
      </w:r>
      <w:r w:rsidRPr="00116D0B">
        <w:rPr>
          <w:rFonts w:ascii="Garamond" w:hAnsi="Garamond"/>
        </w:rPr>
        <w:t>they</w:t>
      </w:r>
      <w:r w:rsidRPr="00116D0B">
        <w:rPr>
          <w:rFonts w:ascii="Garamond" w:hAnsi="Garamond"/>
          <w:spacing w:val="1"/>
        </w:rPr>
        <w:t xml:space="preserve"> </w:t>
      </w:r>
      <w:r w:rsidRPr="00116D0B">
        <w:rPr>
          <w:rFonts w:ascii="Garamond" w:hAnsi="Garamond"/>
        </w:rPr>
        <w:t>encounter</w:t>
      </w:r>
      <w:r w:rsidRPr="00116D0B">
        <w:rPr>
          <w:rFonts w:ascii="Garamond" w:hAnsi="Garamond"/>
          <w:spacing w:val="1"/>
        </w:rPr>
        <w:t xml:space="preserve"> </w:t>
      </w:r>
      <w:r w:rsidRPr="00116D0B">
        <w:rPr>
          <w:rFonts w:ascii="Garamond" w:hAnsi="Garamond"/>
        </w:rPr>
        <w:t>include;</w:t>
      </w:r>
      <w:r w:rsidRPr="00116D0B">
        <w:rPr>
          <w:rFonts w:ascii="Garamond" w:hAnsi="Garamond"/>
          <w:spacing w:val="1"/>
        </w:rPr>
        <w:t xml:space="preserve"> </w:t>
      </w:r>
      <w:r w:rsidRPr="00116D0B">
        <w:rPr>
          <w:rFonts w:ascii="Garamond" w:hAnsi="Garamond"/>
        </w:rPr>
        <w:t>food</w:t>
      </w:r>
      <w:r w:rsidRPr="00116D0B">
        <w:rPr>
          <w:rFonts w:ascii="Garamond" w:hAnsi="Garamond"/>
          <w:spacing w:val="1"/>
        </w:rPr>
        <w:t xml:space="preserve"> </w:t>
      </w:r>
      <w:r w:rsidRPr="00116D0B">
        <w:rPr>
          <w:rFonts w:ascii="Garamond" w:hAnsi="Garamond"/>
        </w:rPr>
        <w:t>insecurity, habitation issues, health challenges, psychosocial challenges, security, loss of</w:t>
      </w:r>
      <w:r w:rsidRPr="00116D0B">
        <w:rPr>
          <w:rFonts w:ascii="Garamond" w:hAnsi="Garamond"/>
          <w:spacing w:val="1"/>
        </w:rPr>
        <w:t xml:space="preserve"> </w:t>
      </w:r>
      <w:r w:rsidRPr="00116D0B">
        <w:rPr>
          <w:rFonts w:ascii="Garamond" w:hAnsi="Garamond"/>
        </w:rPr>
        <w:t>livelihood, amongst</w:t>
      </w:r>
      <w:r w:rsidRPr="00116D0B">
        <w:rPr>
          <w:rFonts w:ascii="Garamond" w:hAnsi="Garamond"/>
          <w:spacing w:val="1"/>
        </w:rPr>
        <w:t xml:space="preserve"> </w:t>
      </w:r>
      <w:r w:rsidRPr="00116D0B">
        <w:rPr>
          <w:rFonts w:ascii="Garamond" w:hAnsi="Garamond"/>
        </w:rPr>
        <w:t>others</w:t>
      </w:r>
      <w:r w:rsidRPr="00116D0B">
        <w:rPr>
          <w:rStyle w:val="FootnoteReference"/>
          <w:rFonts w:ascii="Garamond" w:hAnsi="Garamond"/>
        </w:rPr>
        <w:footnoteReference w:id="2"/>
      </w:r>
      <w:r w:rsidRPr="00116D0B">
        <w:rPr>
          <w:rFonts w:ascii="Garamond" w:hAnsi="Garamond"/>
        </w:rPr>
        <w:t>.</w:t>
      </w:r>
      <w:r w:rsidRPr="00116D0B">
        <w:rPr>
          <w:rFonts w:ascii="Garamond" w:hAnsi="Garamond"/>
          <w:spacing w:val="1"/>
          <w:position w:val="8"/>
        </w:rPr>
        <w:t xml:space="preserve"> </w:t>
      </w:r>
      <w:r w:rsidRPr="00116D0B">
        <w:rPr>
          <w:rFonts w:ascii="Garamond" w:hAnsi="Garamond"/>
        </w:rPr>
        <w:t>The poor adaptation</w:t>
      </w:r>
      <w:r w:rsidRPr="00116D0B">
        <w:rPr>
          <w:rFonts w:ascii="Garamond" w:hAnsi="Garamond"/>
          <w:spacing w:val="1"/>
        </w:rPr>
        <w:t xml:space="preserve"> </w:t>
      </w:r>
      <w:r w:rsidRPr="00116D0B">
        <w:rPr>
          <w:rFonts w:ascii="Garamond" w:hAnsi="Garamond"/>
        </w:rPr>
        <w:t>of the displaced to the unfamiliar</w:t>
      </w:r>
      <w:r w:rsidRPr="00116D0B">
        <w:rPr>
          <w:rFonts w:ascii="Garamond" w:hAnsi="Garamond"/>
          <w:spacing w:val="1"/>
        </w:rPr>
        <w:t xml:space="preserve"> </w:t>
      </w:r>
      <w:r w:rsidRPr="00116D0B">
        <w:rPr>
          <w:rFonts w:ascii="Garamond" w:hAnsi="Garamond"/>
        </w:rPr>
        <w:t>environment</w:t>
      </w:r>
      <w:r w:rsidRPr="00116D0B">
        <w:rPr>
          <w:rFonts w:ascii="Garamond" w:hAnsi="Garamond"/>
          <w:spacing w:val="1"/>
        </w:rPr>
        <w:t xml:space="preserve"> </w:t>
      </w:r>
      <w:r w:rsidRPr="00116D0B">
        <w:rPr>
          <w:rFonts w:ascii="Garamond" w:hAnsi="Garamond"/>
        </w:rPr>
        <w:t>is</w:t>
      </w:r>
      <w:r w:rsidRPr="00116D0B">
        <w:rPr>
          <w:rFonts w:ascii="Garamond" w:hAnsi="Garamond"/>
          <w:spacing w:val="1"/>
        </w:rPr>
        <w:t xml:space="preserve"> </w:t>
      </w:r>
      <w:r w:rsidRPr="00116D0B">
        <w:rPr>
          <w:rFonts w:ascii="Garamond" w:hAnsi="Garamond"/>
        </w:rPr>
        <w:t>due</w:t>
      </w:r>
      <w:r w:rsidRPr="00116D0B">
        <w:rPr>
          <w:rFonts w:ascii="Garamond" w:hAnsi="Garamond"/>
          <w:spacing w:val="1"/>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lack</w:t>
      </w:r>
      <w:r w:rsidRPr="00116D0B">
        <w:rPr>
          <w:rFonts w:ascii="Garamond" w:hAnsi="Garamond"/>
          <w:spacing w:val="1"/>
        </w:rPr>
        <w:t xml:space="preserve"> </w:t>
      </w:r>
      <w:r w:rsidRPr="00116D0B">
        <w:rPr>
          <w:rFonts w:ascii="Garamond" w:hAnsi="Garamond"/>
        </w:rPr>
        <w:t>of</w:t>
      </w:r>
      <w:r w:rsidRPr="00116D0B">
        <w:rPr>
          <w:rFonts w:ascii="Garamond" w:hAnsi="Garamond"/>
          <w:spacing w:val="1"/>
        </w:rPr>
        <w:t xml:space="preserve"> </w:t>
      </w:r>
      <w:r w:rsidRPr="00116D0B">
        <w:rPr>
          <w:rFonts w:ascii="Garamond" w:hAnsi="Garamond"/>
        </w:rPr>
        <w:t>basic</w:t>
      </w:r>
      <w:r w:rsidRPr="00116D0B">
        <w:rPr>
          <w:rFonts w:ascii="Garamond" w:hAnsi="Garamond"/>
          <w:spacing w:val="1"/>
        </w:rPr>
        <w:t xml:space="preserve"> </w:t>
      </w:r>
      <w:r w:rsidRPr="00116D0B">
        <w:rPr>
          <w:rFonts w:ascii="Garamond" w:hAnsi="Garamond"/>
        </w:rPr>
        <w:t>support</w:t>
      </w:r>
      <w:r w:rsidRPr="00116D0B">
        <w:rPr>
          <w:rFonts w:ascii="Garamond" w:hAnsi="Garamond"/>
          <w:spacing w:val="1"/>
        </w:rPr>
        <w:t xml:space="preserve"> </w:t>
      </w:r>
      <w:r w:rsidRPr="00116D0B">
        <w:rPr>
          <w:rFonts w:ascii="Garamond" w:hAnsi="Garamond"/>
        </w:rPr>
        <w:t>needed</w:t>
      </w:r>
      <w:r w:rsidRPr="00116D0B">
        <w:rPr>
          <w:rFonts w:ascii="Garamond" w:hAnsi="Garamond"/>
          <w:spacing w:val="1"/>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host</w:t>
      </w:r>
      <w:r w:rsidRPr="00116D0B">
        <w:rPr>
          <w:rFonts w:ascii="Garamond" w:hAnsi="Garamond"/>
          <w:spacing w:val="1"/>
        </w:rPr>
        <w:t xml:space="preserve"> </w:t>
      </w:r>
      <w:r w:rsidRPr="00116D0B">
        <w:rPr>
          <w:rFonts w:ascii="Garamond" w:hAnsi="Garamond"/>
        </w:rPr>
        <w:t>community’s</w:t>
      </w:r>
      <w:r w:rsidRPr="00116D0B">
        <w:rPr>
          <w:rFonts w:ascii="Garamond" w:hAnsi="Garamond"/>
          <w:spacing w:val="-55"/>
        </w:rPr>
        <w:t xml:space="preserve"> </w:t>
      </w:r>
      <w:r w:rsidRPr="00116D0B">
        <w:rPr>
          <w:rFonts w:ascii="Garamond" w:hAnsi="Garamond"/>
        </w:rPr>
        <w:t>perception of IDP as a threat due to limited resources to accommodate the new entrants.</w:t>
      </w:r>
      <w:r w:rsidRPr="00116D0B">
        <w:rPr>
          <w:rFonts w:ascii="Garamond" w:hAnsi="Garamond"/>
          <w:spacing w:val="-55"/>
        </w:rPr>
        <w:t xml:space="preserve"> </w:t>
      </w:r>
      <w:r w:rsidRPr="00116D0B">
        <w:rPr>
          <w:rFonts w:ascii="Garamond" w:hAnsi="Garamond"/>
        </w:rPr>
        <w:t>This situation often snowballs into subtle crises. This is a</w:t>
      </w:r>
      <w:r w:rsidRPr="00116D0B">
        <w:rPr>
          <w:rFonts w:ascii="Garamond" w:hAnsi="Garamond"/>
          <w:spacing w:val="1"/>
        </w:rPr>
        <w:t xml:space="preserve"> </w:t>
      </w:r>
      <w:r w:rsidRPr="00116D0B">
        <w:rPr>
          <w:rFonts w:ascii="Garamond" w:hAnsi="Garamond"/>
        </w:rPr>
        <w:t>serious problem as</w:t>
      </w:r>
      <w:r w:rsidRPr="00116D0B">
        <w:rPr>
          <w:rFonts w:ascii="Garamond" w:hAnsi="Garamond"/>
          <w:spacing w:val="57"/>
        </w:rPr>
        <w:t xml:space="preserve"> </w:t>
      </w:r>
      <w:r w:rsidRPr="00116D0B">
        <w:rPr>
          <w:rFonts w:ascii="Garamond" w:hAnsi="Garamond"/>
        </w:rPr>
        <w:t>they rely</w:t>
      </w:r>
      <w:r w:rsidRPr="00116D0B">
        <w:rPr>
          <w:rFonts w:ascii="Garamond" w:hAnsi="Garamond"/>
          <w:spacing w:val="1"/>
        </w:rPr>
        <w:t xml:space="preserve"> </w:t>
      </w:r>
      <w:r w:rsidRPr="00116D0B">
        <w:rPr>
          <w:rFonts w:ascii="Garamond" w:hAnsi="Garamond"/>
        </w:rPr>
        <w:t>on</w:t>
      </w:r>
      <w:r w:rsidRPr="00116D0B">
        <w:rPr>
          <w:rFonts w:ascii="Garamond" w:hAnsi="Garamond"/>
          <w:spacing w:val="-2"/>
        </w:rPr>
        <w:t xml:space="preserve"> </w:t>
      </w:r>
      <w:r w:rsidRPr="00116D0B">
        <w:rPr>
          <w:rFonts w:ascii="Garamond" w:hAnsi="Garamond"/>
        </w:rPr>
        <w:t>community</w:t>
      </w:r>
      <w:r w:rsidRPr="00116D0B">
        <w:rPr>
          <w:rFonts w:ascii="Garamond" w:hAnsi="Garamond"/>
          <w:spacing w:val="-1"/>
        </w:rPr>
        <w:t xml:space="preserve"> </w:t>
      </w:r>
      <w:r w:rsidRPr="00116D0B">
        <w:rPr>
          <w:rFonts w:ascii="Garamond" w:hAnsi="Garamond"/>
        </w:rPr>
        <w:t>support to</w:t>
      </w:r>
      <w:r w:rsidRPr="00116D0B">
        <w:rPr>
          <w:rFonts w:ascii="Garamond" w:hAnsi="Garamond"/>
          <w:spacing w:val="-3"/>
        </w:rPr>
        <w:t xml:space="preserve"> </w:t>
      </w:r>
      <w:r w:rsidRPr="00116D0B">
        <w:rPr>
          <w:rFonts w:ascii="Garamond" w:hAnsi="Garamond"/>
        </w:rPr>
        <w:t>navigate</w:t>
      </w:r>
      <w:r w:rsidRPr="00116D0B">
        <w:rPr>
          <w:rFonts w:ascii="Garamond" w:hAnsi="Garamond"/>
          <w:spacing w:val="1"/>
        </w:rPr>
        <w:t xml:space="preserve"> </w:t>
      </w:r>
      <w:r w:rsidRPr="00116D0B">
        <w:rPr>
          <w:rFonts w:ascii="Garamond" w:hAnsi="Garamond"/>
        </w:rPr>
        <w:t>their</w:t>
      </w:r>
      <w:r w:rsidRPr="00116D0B">
        <w:rPr>
          <w:rFonts w:ascii="Garamond" w:hAnsi="Garamond"/>
          <w:spacing w:val="1"/>
        </w:rPr>
        <w:t xml:space="preserve"> </w:t>
      </w:r>
      <w:r w:rsidRPr="00116D0B">
        <w:rPr>
          <w:rFonts w:ascii="Garamond" w:hAnsi="Garamond"/>
        </w:rPr>
        <w:t>new reality.</w:t>
      </w:r>
    </w:p>
    <w:p w14:paraId="4F0DC22F" w14:textId="77777777"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Acceptance and integration is one of the major challenges faced by IDPs within host</w:t>
      </w:r>
      <w:r w:rsidRPr="00116D0B">
        <w:rPr>
          <w:rFonts w:ascii="Garamond" w:hAnsi="Garamond"/>
          <w:spacing w:val="1"/>
        </w:rPr>
        <w:t xml:space="preserve"> </w:t>
      </w:r>
      <w:r w:rsidRPr="00116D0B">
        <w:rPr>
          <w:rFonts w:ascii="Garamond" w:hAnsi="Garamond"/>
        </w:rPr>
        <w:t>communities. This rejection can happen due to various reasons. Sometimes, the host</w:t>
      </w:r>
      <w:r w:rsidRPr="00116D0B">
        <w:rPr>
          <w:rFonts w:ascii="Garamond" w:hAnsi="Garamond"/>
          <w:spacing w:val="1"/>
        </w:rPr>
        <w:t xml:space="preserve"> </w:t>
      </w:r>
      <w:r w:rsidRPr="00116D0B">
        <w:rPr>
          <w:rFonts w:ascii="Garamond" w:hAnsi="Garamond"/>
        </w:rPr>
        <w:t xml:space="preserve">communities may perceive IDPs as </w:t>
      </w:r>
      <w:r w:rsidRPr="00116D0B">
        <w:rPr>
          <w:rFonts w:ascii="Garamond" w:hAnsi="Garamond"/>
        </w:rPr>
        <w:lastRenderedPageBreak/>
        <w:t>additional competitors for limited resources such as</w:t>
      </w:r>
      <w:r w:rsidRPr="00116D0B">
        <w:rPr>
          <w:rFonts w:ascii="Garamond" w:hAnsi="Garamond"/>
          <w:spacing w:val="1"/>
        </w:rPr>
        <w:t xml:space="preserve"> </w:t>
      </w:r>
      <w:r w:rsidRPr="00116D0B">
        <w:rPr>
          <w:rFonts w:ascii="Garamond" w:hAnsi="Garamond"/>
        </w:rPr>
        <w:t>food, water, shelter, and jobs. This perception then leads to tension and resentment.</w:t>
      </w:r>
      <w:r w:rsidRPr="00116D0B">
        <w:rPr>
          <w:rFonts w:ascii="Garamond" w:hAnsi="Garamond"/>
          <w:spacing w:val="1"/>
        </w:rPr>
        <w:t xml:space="preserve"> </w:t>
      </w:r>
      <w:r w:rsidRPr="00116D0B">
        <w:rPr>
          <w:rFonts w:ascii="Garamond" w:hAnsi="Garamond"/>
        </w:rPr>
        <w:t>These host communities with large settlements of displaced persons often do not have</w:t>
      </w:r>
      <w:r w:rsidRPr="00116D0B">
        <w:rPr>
          <w:rFonts w:ascii="Garamond" w:hAnsi="Garamond"/>
          <w:spacing w:val="1"/>
        </w:rPr>
        <w:t xml:space="preserve"> </w:t>
      </w:r>
      <w:r w:rsidRPr="00116D0B">
        <w:rPr>
          <w:rFonts w:ascii="Garamond" w:hAnsi="Garamond"/>
        </w:rPr>
        <w:t>enough resources to carter for themselves, nor the huge numbers of IDPs that come in</w:t>
      </w:r>
      <w:r w:rsidRPr="00116D0B">
        <w:rPr>
          <w:rFonts w:ascii="Garamond" w:hAnsi="Garamond"/>
          <w:spacing w:val="1"/>
        </w:rPr>
        <w:t xml:space="preserve"> </w:t>
      </w:r>
      <w:r w:rsidRPr="00116D0B">
        <w:rPr>
          <w:rFonts w:ascii="Garamond" w:hAnsi="Garamond"/>
        </w:rPr>
        <w:t>every year. They might even refuse to associate with them, as often times, these people</w:t>
      </w:r>
      <w:r w:rsidRPr="00116D0B">
        <w:rPr>
          <w:rFonts w:ascii="Garamond" w:hAnsi="Garamond"/>
          <w:spacing w:val="1"/>
        </w:rPr>
        <w:t xml:space="preserve"> </w:t>
      </w:r>
      <w:r w:rsidRPr="00116D0B">
        <w:rPr>
          <w:rFonts w:ascii="Garamond" w:hAnsi="Garamond"/>
        </w:rPr>
        <w:t>are viewed through misunderstanding and stereotype lenses. Due to them not sharing</w:t>
      </w:r>
      <w:r w:rsidRPr="00116D0B">
        <w:rPr>
          <w:rFonts w:ascii="Garamond" w:hAnsi="Garamond"/>
          <w:spacing w:val="1"/>
        </w:rPr>
        <w:t xml:space="preserve"> </w:t>
      </w:r>
      <w:r w:rsidRPr="00116D0B">
        <w:rPr>
          <w:rFonts w:ascii="Garamond" w:hAnsi="Garamond"/>
        </w:rPr>
        <w:t>same background with the people from the host communities, and the violence that has</w:t>
      </w:r>
      <w:r w:rsidRPr="00116D0B">
        <w:rPr>
          <w:rFonts w:ascii="Garamond" w:hAnsi="Garamond"/>
          <w:spacing w:val="1"/>
        </w:rPr>
        <w:t xml:space="preserve"> </w:t>
      </w:r>
      <w:r w:rsidRPr="00116D0B">
        <w:rPr>
          <w:rFonts w:ascii="Garamond" w:hAnsi="Garamond"/>
        </w:rPr>
        <w:t>made</w:t>
      </w:r>
      <w:r w:rsidRPr="00116D0B">
        <w:rPr>
          <w:rFonts w:ascii="Garamond" w:hAnsi="Garamond"/>
          <w:spacing w:val="1"/>
        </w:rPr>
        <w:t xml:space="preserve"> </w:t>
      </w:r>
      <w:r w:rsidRPr="00116D0B">
        <w:rPr>
          <w:rFonts w:ascii="Garamond" w:hAnsi="Garamond"/>
        </w:rPr>
        <w:t>them</w:t>
      </w:r>
      <w:r w:rsidRPr="00116D0B">
        <w:rPr>
          <w:rFonts w:ascii="Garamond" w:hAnsi="Garamond"/>
          <w:spacing w:val="1"/>
        </w:rPr>
        <w:t xml:space="preserve"> </w:t>
      </w:r>
      <w:r w:rsidRPr="00116D0B">
        <w:rPr>
          <w:rFonts w:ascii="Garamond" w:hAnsi="Garamond"/>
        </w:rPr>
        <w:t>flee</w:t>
      </w:r>
      <w:r w:rsidRPr="00116D0B">
        <w:rPr>
          <w:rFonts w:ascii="Garamond" w:hAnsi="Garamond"/>
          <w:spacing w:val="1"/>
        </w:rPr>
        <w:t xml:space="preserve"> </w:t>
      </w:r>
      <w:r w:rsidRPr="00116D0B">
        <w:rPr>
          <w:rFonts w:ascii="Garamond" w:hAnsi="Garamond"/>
        </w:rPr>
        <w:t>their</w:t>
      </w:r>
      <w:r w:rsidRPr="00116D0B">
        <w:rPr>
          <w:rFonts w:ascii="Garamond" w:hAnsi="Garamond"/>
          <w:spacing w:val="1"/>
        </w:rPr>
        <w:t xml:space="preserve"> </w:t>
      </w:r>
      <w:r w:rsidRPr="00116D0B">
        <w:rPr>
          <w:rFonts w:ascii="Garamond" w:hAnsi="Garamond"/>
        </w:rPr>
        <w:t>home</w:t>
      </w:r>
      <w:r w:rsidRPr="00116D0B">
        <w:rPr>
          <w:rFonts w:ascii="Garamond" w:hAnsi="Garamond"/>
          <w:spacing w:val="1"/>
        </w:rPr>
        <w:t xml:space="preserve"> </w:t>
      </w:r>
      <w:r w:rsidRPr="00116D0B">
        <w:rPr>
          <w:rFonts w:ascii="Garamond" w:hAnsi="Garamond"/>
        </w:rPr>
        <w:t>towns,</w:t>
      </w:r>
      <w:r w:rsidRPr="00116D0B">
        <w:rPr>
          <w:rFonts w:ascii="Garamond" w:hAnsi="Garamond"/>
          <w:spacing w:val="1"/>
        </w:rPr>
        <w:t xml:space="preserve"> </w:t>
      </w:r>
      <w:r w:rsidRPr="00116D0B">
        <w:rPr>
          <w:rFonts w:ascii="Garamond" w:hAnsi="Garamond"/>
        </w:rPr>
        <w:t>they</w:t>
      </w:r>
      <w:r w:rsidRPr="00116D0B">
        <w:rPr>
          <w:rFonts w:ascii="Garamond" w:hAnsi="Garamond"/>
          <w:spacing w:val="1"/>
        </w:rPr>
        <w:t xml:space="preserve"> </w:t>
      </w:r>
      <w:r w:rsidRPr="00116D0B">
        <w:rPr>
          <w:rFonts w:ascii="Garamond" w:hAnsi="Garamond"/>
        </w:rPr>
        <w:t>are</w:t>
      </w:r>
      <w:r w:rsidRPr="00116D0B">
        <w:rPr>
          <w:rFonts w:ascii="Garamond" w:hAnsi="Garamond"/>
          <w:spacing w:val="1"/>
        </w:rPr>
        <w:t xml:space="preserve"> </w:t>
      </w:r>
      <w:r w:rsidRPr="00116D0B">
        <w:rPr>
          <w:rFonts w:ascii="Garamond" w:hAnsi="Garamond"/>
        </w:rPr>
        <w:t>often</w:t>
      </w:r>
      <w:r w:rsidRPr="00116D0B">
        <w:rPr>
          <w:rFonts w:ascii="Garamond" w:hAnsi="Garamond"/>
          <w:spacing w:val="1"/>
        </w:rPr>
        <w:t xml:space="preserve"> </w:t>
      </w:r>
      <w:r w:rsidRPr="00116D0B">
        <w:rPr>
          <w:rFonts w:ascii="Garamond" w:hAnsi="Garamond"/>
        </w:rPr>
        <w:t>considered</w:t>
      </w:r>
      <w:r w:rsidRPr="00116D0B">
        <w:rPr>
          <w:rFonts w:ascii="Garamond" w:hAnsi="Garamond"/>
          <w:spacing w:val="1"/>
        </w:rPr>
        <w:t xml:space="preserve"> </w:t>
      </w:r>
      <w:r w:rsidRPr="00116D0B">
        <w:rPr>
          <w:rFonts w:ascii="Garamond" w:hAnsi="Garamond"/>
        </w:rPr>
        <w:t>as</w:t>
      </w:r>
      <w:r w:rsidRPr="00116D0B">
        <w:rPr>
          <w:rFonts w:ascii="Garamond" w:hAnsi="Garamond"/>
          <w:spacing w:val="1"/>
        </w:rPr>
        <w:t xml:space="preserve"> </w:t>
      </w:r>
      <w:r w:rsidRPr="00116D0B">
        <w:rPr>
          <w:rFonts w:ascii="Garamond" w:hAnsi="Garamond"/>
        </w:rPr>
        <w:t>violent</w:t>
      </w:r>
      <w:r w:rsidRPr="00116D0B">
        <w:rPr>
          <w:rFonts w:ascii="Garamond" w:hAnsi="Garamond"/>
          <w:spacing w:val="1"/>
        </w:rPr>
        <w:t xml:space="preserve"> </w:t>
      </w:r>
      <w:r w:rsidRPr="00116D0B">
        <w:rPr>
          <w:rFonts w:ascii="Garamond" w:hAnsi="Garamond"/>
        </w:rPr>
        <w:t>persons</w:t>
      </w:r>
      <w:r w:rsidRPr="00116D0B">
        <w:rPr>
          <w:rFonts w:ascii="Garamond" w:hAnsi="Garamond"/>
          <w:spacing w:val="1"/>
        </w:rPr>
        <w:t xml:space="preserve"> </w:t>
      </w:r>
      <w:r w:rsidRPr="00116D0B">
        <w:rPr>
          <w:rFonts w:ascii="Garamond" w:hAnsi="Garamond"/>
        </w:rPr>
        <w:t>or</w:t>
      </w:r>
      <w:r w:rsidRPr="00116D0B">
        <w:rPr>
          <w:rFonts w:ascii="Garamond" w:hAnsi="Garamond"/>
          <w:spacing w:val="-55"/>
        </w:rPr>
        <w:t xml:space="preserve"> </w:t>
      </w:r>
      <w:r w:rsidRPr="00116D0B">
        <w:rPr>
          <w:rFonts w:ascii="Garamond" w:hAnsi="Garamond"/>
        </w:rPr>
        <w:t>criminals</w:t>
      </w:r>
      <w:r w:rsidRPr="00116D0B">
        <w:rPr>
          <w:rFonts w:ascii="Garamond" w:hAnsi="Garamond"/>
          <w:spacing w:val="1"/>
        </w:rPr>
        <w:t xml:space="preserve"> </w:t>
      </w:r>
      <w:r w:rsidRPr="00116D0B">
        <w:rPr>
          <w:rFonts w:ascii="Garamond" w:hAnsi="Garamond"/>
        </w:rPr>
        <w:t>even.</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fear</w:t>
      </w:r>
      <w:r w:rsidRPr="00116D0B">
        <w:rPr>
          <w:rFonts w:ascii="Garamond" w:hAnsi="Garamond"/>
          <w:spacing w:val="1"/>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mistrust</w:t>
      </w:r>
      <w:r w:rsidRPr="00116D0B">
        <w:rPr>
          <w:rFonts w:ascii="Garamond" w:hAnsi="Garamond"/>
          <w:spacing w:val="1"/>
        </w:rPr>
        <w:t xml:space="preserve"> </w:t>
      </w:r>
      <w:r w:rsidRPr="00116D0B">
        <w:rPr>
          <w:rFonts w:ascii="Garamond" w:hAnsi="Garamond"/>
        </w:rPr>
        <w:t>affect</w:t>
      </w:r>
      <w:r w:rsidRPr="00116D0B">
        <w:rPr>
          <w:rFonts w:ascii="Garamond" w:hAnsi="Garamond"/>
          <w:spacing w:val="1"/>
        </w:rPr>
        <w:t xml:space="preserve"> </w:t>
      </w:r>
      <w:r w:rsidRPr="00116D0B">
        <w:rPr>
          <w:rFonts w:ascii="Garamond" w:hAnsi="Garamond"/>
        </w:rPr>
        <w:t>how</w:t>
      </w:r>
      <w:r w:rsidRPr="00116D0B">
        <w:rPr>
          <w:rFonts w:ascii="Garamond" w:hAnsi="Garamond"/>
          <w:spacing w:val="1"/>
        </w:rPr>
        <w:t xml:space="preserve"> </w:t>
      </w:r>
      <w:r w:rsidRPr="00116D0B">
        <w:rPr>
          <w:rFonts w:ascii="Garamond" w:hAnsi="Garamond"/>
        </w:rPr>
        <w:t>host</w:t>
      </w:r>
      <w:r w:rsidRPr="00116D0B">
        <w:rPr>
          <w:rFonts w:ascii="Garamond" w:hAnsi="Garamond"/>
          <w:spacing w:val="1"/>
        </w:rPr>
        <w:t xml:space="preserve"> </w:t>
      </w:r>
      <w:r w:rsidRPr="00116D0B">
        <w:rPr>
          <w:rFonts w:ascii="Garamond" w:hAnsi="Garamond"/>
        </w:rPr>
        <w:t>communities</w:t>
      </w:r>
      <w:r w:rsidRPr="00116D0B">
        <w:rPr>
          <w:rFonts w:ascii="Garamond" w:hAnsi="Garamond"/>
          <w:spacing w:val="1"/>
        </w:rPr>
        <w:t xml:space="preserve"> </w:t>
      </w:r>
      <w:r w:rsidRPr="00116D0B">
        <w:rPr>
          <w:rFonts w:ascii="Garamond" w:hAnsi="Garamond"/>
        </w:rPr>
        <w:t>perceive</w:t>
      </w:r>
      <w:r w:rsidRPr="00116D0B">
        <w:rPr>
          <w:rFonts w:ascii="Garamond" w:hAnsi="Garamond"/>
          <w:spacing w:val="57"/>
        </w:rPr>
        <w:t xml:space="preserve"> </w:t>
      </w:r>
      <w:r w:rsidRPr="00116D0B">
        <w:rPr>
          <w:rFonts w:ascii="Garamond" w:hAnsi="Garamond"/>
        </w:rPr>
        <w:t>IDPs</w:t>
      </w:r>
      <w:r w:rsidRPr="00116D0B">
        <w:rPr>
          <w:rFonts w:ascii="Garamond" w:hAnsi="Garamond"/>
          <w:spacing w:val="1"/>
        </w:rPr>
        <w:t xml:space="preserve"> </w:t>
      </w:r>
      <w:r w:rsidRPr="00116D0B">
        <w:rPr>
          <w:rFonts w:ascii="Garamond" w:hAnsi="Garamond"/>
        </w:rPr>
        <w:t>leading</w:t>
      </w:r>
      <w:r w:rsidRPr="00116D0B">
        <w:rPr>
          <w:rFonts w:ascii="Garamond" w:hAnsi="Garamond"/>
          <w:spacing w:val="-2"/>
        </w:rPr>
        <w:t xml:space="preserve"> </w:t>
      </w:r>
      <w:r w:rsidRPr="00116D0B">
        <w:rPr>
          <w:rFonts w:ascii="Garamond" w:hAnsi="Garamond"/>
        </w:rPr>
        <w:t>to</w:t>
      </w:r>
      <w:r w:rsidRPr="00116D0B">
        <w:rPr>
          <w:rFonts w:ascii="Garamond" w:hAnsi="Garamond"/>
          <w:spacing w:val="-3"/>
        </w:rPr>
        <w:t xml:space="preserve"> </w:t>
      </w:r>
      <w:r w:rsidRPr="00116D0B">
        <w:rPr>
          <w:rFonts w:ascii="Garamond" w:hAnsi="Garamond"/>
        </w:rPr>
        <w:t>negative</w:t>
      </w:r>
      <w:r w:rsidRPr="00116D0B">
        <w:rPr>
          <w:rFonts w:ascii="Garamond" w:hAnsi="Garamond"/>
          <w:spacing w:val="1"/>
        </w:rPr>
        <w:t xml:space="preserve"> </w:t>
      </w:r>
      <w:r w:rsidRPr="00116D0B">
        <w:rPr>
          <w:rFonts w:ascii="Garamond" w:hAnsi="Garamond"/>
        </w:rPr>
        <w:t>attitudes</w:t>
      </w:r>
      <w:r w:rsidRPr="00116D0B">
        <w:rPr>
          <w:rFonts w:ascii="Garamond" w:hAnsi="Garamond"/>
          <w:spacing w:val="1"/>
        </w:rPr>
        <w:t xml:space="preserve"> </w:t>
      </w:r>
      <w:r w:rsidRPr="00116D0B">
        <w:rPr>
          <w:rFonts w:ascii="Garamond" w:hAnsi="Garamond"/>
        </w:rPr>
        <w:t>towards</w:t>
      </w:r>
      <w:r w:rsidRPr="00116D0B">
        <w:rPr>
          <w:rFonts w:ascii="Garamond" w:hAnsi="Garamond"/>
          <w:spacing w:val="-1"/>
        </w:rPr>
        <w:t xml:space="preserve"> </w:t>
      </w:r>
      <w:r w:rsidRPr="00116D0B">
        <w:rPr>
          <w:rFonts w:ascii="Garamond" w:hAnsi="Garamond"/>
        </w:rPr>
        <w:t>them.</w:t>
      </w:r>
    </w:p>
    <w:p w14:paraId="5DDF5C84" w14:textId="2172B541"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This</w:t>
      </w:r>
      <w:r w:rsidRPr="00116D0B">
        <w:rPr>
          <w:rFonts w:ascii="Garamond" w:hAnsi="Garamond"/>
          <w:spacing w:val="1"/>
        </w:rPr>
        <w:t xml:space="preserve"> </w:t>
      </w:r>
      <w:r w:rsidRPr="00116D0B">
        <w:rPr>
          <w:rFonts w:ascii="Garamond" w:hAnsi="Garamond"/>
        </w:rPr>
        <w:t>rejection</w:t>
      </w:r>
      <w:r w:rsidRPr="00116D0B">
        <w:rPr>
          <w:rFonts w:ascii="Garamond" w:hAnsi="Garamond"/>
          <w:spacing w:val="1"/>
        </w:rPr>
        <w:t xml:space="preserve"> </w:t>
      </w:r>
      <w:r w:rsidRPr="00116D0B">
        <w:rPr>
          <w:rFonts w:ascii="Garamond" w:hAnsi="Garamond"/>
        </w:rPr>
        <w:t>leads</w:t>
      </w:r>
      <w:r w:rsidRPr="00116D0B">
        <w:rPr>
          <w:rFonts w:ascii="Garamond" w:hAnsi="Garamond"/>
          <w:spacing w:val="1"/>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social</w:t>
      </w:r>
      <w:r w:rsidRPr="00116D0B">
        <w:rPr>
          <w:rFonts w:ascii="Garamond" w:hAnsi="Garamond"/>
          <w:spacing w:val="1"/>
        </w:rPr>
        <w:t xml:space="preserve"> </w:t>
      </w:r>
      <w:r w:rsidRPr="00116D0B">
        <w:rPr>
          <w:rFonts w:ascii="Garamond" w:hAnsi="Garamond"/>
        </w:rPr>
        <w:t>isolation</w:t>
      </w:r>
      <w:r w:rsidRPr="00116D0B">
        <w:rPr>
          <w:rFonts w:ascii="Garamond" w:hAnsi="Garamond"/>
          <w:spacing w:val="1"/>
        </w:rPr>
        <w:t xml:space="preserve"> </w:t>
      </w:r>
      <w:r w:rsidRPr="00116D0B">
        <w:rPr>
          <w:rFonts w:ascii="Garamond" w:hAnsi="Garamond"/>
        </w:rPr>
        <w:t>for</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00E674DB" w:rsidRPr="00116D0B">
        <w:rPr>
          <w:rFonts w:ascii="Garamond" w:hAnsi="Garamond"/>
        </w:rPr>
        <w:t>IDPs because</w:t>
      </w:r>
      <w:r w:rsidRPr="00116D0B">
        <w:rPr>
          <w:rFonts w:ascii="Garamond" w:hAnsi="Garamond"/>
          <w:spacing w:val="1"/>
        </w:rPr>
        <w:t xml:space="preserve"> </w:t>
      </w:r>
      <w:r w:rsidRPr="00116D0B">
        <w:rPr>
          <w:rFonts w:ascii="Garamond" w:hAnsi="Garamond"/>
        </w:rPr>
        <w:t>they</w:t>
      </w:r>
      <w:r w:rsidRPr="00116D0B">
        <w:rPr>
          <w:rFonts w:ascii="Garamond" w:hAnsi="Garamond"/>
          <w:spacing w:val="1"/>
        </w:rPr>
        <w:t xml:space="preserve"> </w:t>
      </w:r>
      <w:r w:rsidRPr="00116D0B">
        <w:rPr>
          <w:rFonts w:ascii="Garamond" w:hAnsi="Garamond"/>
        </w:rPr>
        <w:t>feel</w:t>
      </w:r>
      <w:r w:rsidRPr="00116D0B">
        <w:rPr>
          <w:rFonts w:ascii="Garamond" w:hAnsi="Garamond"/>
          <w:spacing w:val="1"/>
        </w:rPr>
        <w:t xml:space="preserve"> </w:t>
      </w:r>
      <w:r w:rsidRPr="00116D0B">
        <w:rPr>
          <w:rFonts w:ascii="Garamond" w:hAnsi="Garamond"/>
        </w:rPr>
        <w:t>unwelcome.</w:t>
      </w:r>
      <w:r w:rsidRPr="00116D0B">
        <w:rPr>
          <w:rFonts w:ascii="Garamond" w:hAnsi="Garamond"/>
          <w:spacing w:val="1"/>
        </w:rPr>
        <w:t xml:space="preserve"> </w:t>
      </w:r>
      <w:r w:rsidRPr="00116D0B">
        <w:rPr>
          <w:rFonts w:ascii="Garamond" w:hAnsi="Garamond"/>
        </w:rPr>
        <w:t>Sometimes,</w:t>
      </w:r>
      <w:r w:rsidRPr="00116D0B">
        <w:rPr>
          <w:rFonts w:ascii="Garamond" w:hAnsi="Garamond"/>
          <w:spacing w:val="35"/>
        </w:rPr>
        <w:t xml:space="preserve"> </w:t>
      </w:r>
      <w:r w:rsidRPr="00116D0B">
        <w:rPr>
          <w:rFonts w:ascii="Garamond" w:hAnsi="Garamond"/>
        </w:rPr>
        <w:t>these</w:t>
      </w:r>
      <w:r w:rsidRPr="00116D0B">
        <w:rPr>
          <w:rFonts w:ascii="Garamond" w:hAnsi="Garamond"/>
          <w:spacing w:val="34"/>
        </w:rPr>
        <w:t xml:space="preserve"> </w:t>
      </w:r>
      <w:r w:rsidRPr="00116D0B">
        <w:rPr>
          <w:rFonts w:ascii="Garamond" w:hAnsi="Garamond"/>
        </w:rPr>
        <w:t>communities</w:t>
      </w:r>
      <w:r w:rsidRPr="00116D0B">
        <w:rPr>
          <w:rFonts w:ascii="Garamond" w:hAnsi="Garamond"/>
          <w:spacing w:val="35"/>
        </w:rPr>
        <w:t xml:space="preserve"> </w:t>
      </w:r>
      <w:r w:rsidRPr="00116D0B">
        <w:rPr>
          <w:rFonts w:ascii="Garamond" w:hAnsi="Garamond"/>
        </w:rPr>
        <w:t>go</w:t>
      </w:r>
      <w:r w:rsidRPr="00116D0B">
        <w:rPr>
          <w:rFonts w:ascii="Garamond" w:hAnsi="Garamond"/>
          <w:spacing w:val="33"/>
        </w:rPr>
        <w:t xml:space="preserve"> </w:t>
      </w:r>
      <w:r w:rsidRPr="00116D0B">
        <w:rPr>
          <w:rFonts w:ascii="Garamond" w:hAnsi="Garamond"/>
        </w:rPr>
        <w:t>as</w:t>
      </w:r>
      <w:r w:rsidRPr="00116D0B">
        <w:rPr>
          <w:rFonts w:ascii="Garamond" w:hAnsi="Garamond"/>
          <w:spacing w:val="34"/>
        </w:rPr>
        <w:t xml:space="preserve"> </w:t>
      </w:r>
      <w:r w:rsidRPr="00116D0B">
        <w:rPr>
          <w:rFonts w:ascii="Garamond" w:hAnsi="Garamond"/>
        </w:rPr>
        <w:t>far</w:t>
      </w:r>
      <w:r w:rsidRPr="00116D0B">
        <w:rPr>
          <w:rFonts w:ascii="Garamond" w:hAnsi="Garamond"/>
          <w:spacing w:val="36"/>
        </w:rPr>
        <w:t xml:space="preserve"> </w:t>
      </w:r>
      <w:r w:rsidRPr="00116D0B">
        <w:rPr>
          <w:rFonts w:ascii="Garamond" w:hAnsi="Garamond"/>
        </w:rPr>
        <w:t>as</w:t>
      </w:r>
      <w:r w:rsidRPr="00116D0B">
        <w:rPr>
          <w:rFonts w:ascii="Garamond" w:hAnsi="Garamond"/>
          <w:spacing w:val="34"/>
        </w:rPr>
        <w:t xml:space="preserve"> </w:t>
      </w:r>
      <w:r w:rsidRPr="00116D0B">
        <w:rPr>
          <w:rFonts w:ascii="Garamond" w:hAnsi="Garamond"/>
        </w:rPr>
        <w:t>limiting</w:t>
      </w:r>
      <w:r w:rsidRPr="00116D0B">
        <w:rPr>
          <w:rFonts w:ascii="Garamond" w:hAnsi="Garamond"/>
          <w:spacing w:val="34"/>
        </w:rPr>
        <w:t xml:space="preserve"> </w:t>
      </w:r>
      <w:r w:rsidRPr="00116D0B">
        <w:rPr>
          <w:rFonts w:ascii="Garamond" w:hAnsi="Garamond"/>
        </w:rPr>
        <w:t>their</w:t>
      </w:r>
      <w:r w:rsidRPr="00116D0B">
        <w:rPr>
          <w:rFonts w:ascii="Garamond" w:hAnsi="Garamond"/>
          <w:spacing w:val="35"/>
        </w:rPr>
        <w:t xml:space="preserve"> </w:t>
      </w:r>
      <w:r w:rsidRPr="00116D0B">
        <w:rPr>
          <w:rFonts w:ascii="Garamond" w:hAnsi="Garamond"/>
        </w:rPr>
        <w:t>access</w:t>
      </w:r>
      <w:r w:rsidRPr="00116D0B">
        <w:rPr>
          <w:rFonts w:ascii="Garamond" w:hAnsi="Garamond"/>
          <w:spacing w:val="34"/>
        </w:rPr>
        <w:t xml:space="preserve"> </w:t>
      </w:r>
      <w:r w:rsidRPr="00116D0B">
        <w:rPr>
          <w:rFonts w:ascii="Garamond" w:hAnsi="Garamond"/>
        </w:rPr>
        <w:t>to</w:t>
      </w:r>
      <w:r w:rsidRPr="00116D0B">
        <w:rPr>
          <w:rFonts w:ascii="Garamond" w:hAnsi="Garamond"/>
          <w:spacing w:val="34"/>
        </w:rPr>
        <w:t xml:space="preserve"> </w:t>
      </w:r>
      <w:r w:rsidRPr="00116D0B">
        <w:rPr>
          <w:rFonts w:ascii="Garamond" w:hAnsi="Garamond"/>
        </w:rPr>
        <w:t>essential</w:t>
      </w:r>
      <w:r w:rsidRPr="00116D0B">
        <w:rPr>
          <w:rFonts w:ascii="Garamond" w:hAnsi="Garamond"/>
          <w:spacing w:val="36"/>
        </w:rPr>
        <w:t xml:space="preserve"> </w:t>
      </w:r>
      <w:r w:rsidRPr="00116D0B">
        <w:rPr>
          <w:rFonts w:ascii="Garamond" w:hAnsi="Garamond"/>
        </w:rPr>
        <w:t>services.</w:t>
      </w:r>
      <w:r w:rsidRPr="00116D0B">
        <w:rPr>
          <w:rFonts w:ascii="Garamond" w:hAnsi="Garamond"/>
          <w:spacing w:val="-56"/>
        </w:rPr>
        <w:t xml:space="preserve"> </w:t>
      </w:r>
      <w:r w:rsidRPr="00116D0B">
        <w:rPr>
          <w:rFonts w:ascii="Garamond" w:hAnsi="Garamond"/>
        </w:rPr>
        <w:t>The</w:t>
      </w:r>
      <w:r w:rsidRPr="00116D0B">
        <w:rPr>
          <w:rFonts w:ascii="Garamond" w:hAnsi="Garamond"/>
          <w:spacing w:val="8"/>
        </w:rPr>
        <w:t xml:space="preserve"> </w:t>
      </w:r>
      <w:r w:rsidRPr="00116D0B">
        <w:rPr>
          <w:rFonts w:ascii="Garamond" w:hAnsi="Garamond"/>
        </w:rPr>
        <w:t>impact</w:t>
      </w:r>
      <w:r w:rsidRPr="00116D0B">
        <w:rPr>
          <w:rFonts w:ascii="Garamond" w:hAnsi="Garamond"/>
          <w:spacing w:val="13"/>
        </w:rPr>
        <w:t xml:space="preserve"> </w:t>
      </w:r>
      <w:r w:rsidRPr="00116D0B">
        <w:rPr>
          <w:rFonts w:ascii="Garamond" w:hAnsi="Garamond"/>
        </w:rPr>
        <w:t>of</w:t>
      </w:r>
      <w:r w:rsidRPr="00116D0B">
        <w:rPr>
          <w:rFonts w:ascii="Garamond" w:hAnsi="Garamond"/>
          <w:spacing w:val="10"/>
        </w:rPr>
        <w:t xml:space="preserve"> </w:t>
      </w:r>
      <w:r w:rsidRPr="00116D0B">
        <w:rPr>
          <w:rFonts w:ascii="Garamond" w:hAnsi="Garamond"/>
        </w:rPr>
        <w:t>this</w:t>
      </w:r>
      <w:r w:rsidRPr="00116D0B">
        <w:rPr>
          <w:rFonts w:ascii="Garamond" w:hAnsi="Garamond"/>
          <w:spacing w:val="9"/>
        </w:rPr>
        <w:t xml:space="preserve"> </w:t>
      </w:r>
      <w:r w:rsidRPr="00116D0B">
        <w:rPr>
          <w:rFonts w:ascii="Garamond" w:hAnsi="Garamond"/>
        </w:rPr>
        <w:t>rejection</w:t>
      </w:r>
      <w:r w:rsidRPr="00116D0B">
        <w:rPr>
          <w:rFonts w:ascii="Garamond" w:hAnsi="Garamond"/>
          <w:spacing w:val="11"/>
        </w:rPr>
        <w:t xml:space="preserve"> </w:t>
      </w:r>
      <w:r w:rsidRPr="00116D0B">
        <w:rPr>
          <w:rFonts w:ascii="Garamond" w:hAnsi="Garamond"/>
        </w:rPr>
        <w:t>on</w:t>
      </w:r>
      <w:r w:rsidRPr="00116D0B">
        <w:rPr>
          <w:rFonts w:ascii="Garamond" w:hAnsi="Garamond"/>
          <w:spacing w:val="11"/>
        </w:rPr>
        <w:t xml:space="preserve"> </w:t>
      </w:r>
      <w:r w:rsidRPr="00116D0B">
        <w:rPr>
          <w:rFonts w:ascii="Garamond" w:hAnsi="Garamond"/>
        </w:rPr>
        <w:t>IDPs</w:t>
      </w:r>
      <w:r w:rsidRPr="00116D0B">
        <w:rPr>
          <w:rFonts w:ascii="Garamond" w:hAnsi="Garamond"/>
          <w:spacing w:val="10"/>
        </w:rPr>
        <w:t xml:space="preserve"> </w:t>
      </w:r>
      <w:r w:rsidRPr="00116D0B">
        <w:rPr>
          <w:rFonts w:ascii="Garamond" w:hAnsi="Garamond"/>
        </w:rPr>
        <w:t>exacerbates</w:t>
      </w:r>
      <w:r w:rsidRPr="00116D0B">
        <w:rPr>
          <w:rFonts w:ascii="Garamond" w:hAnsi="Garamond"/>
          <w:spacing w:val="11"/>
        </w:rPr>
        <w:t xml:space="preserve"> </w:t>
      </w:r>
      <w:r w:rsidRPr="00116D0B">
        <w:rPr>
          <w:rFonts w:ascii="Garamond" w:hAnsi="Garamond"/>
        </w:rPr>
        <w:t>their</w:t>
      </w:r>
      <w:r w:rsidRPr="00116D0B">
        <w:rPr>
          <w:rFonts w:ascii="Garamond" w:hAnsi="Garamond"/>
          <w:spacing w:val="12"/>
        </w:rPr>
        <w:t xml:space="preserve"> </w:t>
      </w:r>
      <w:r w:rsidRPr="00116D0B">
        <w:rPr>
          <w:rFonts w:ascii="Garamond" w:hAnsi="Garamond"/>
        </w:rPr>
        <w:t>vulnerability.</w:t>
      </w:r>
      <w:r w:rsidRPr="00116D0B">
        <w:rPr>
          <w:rFonts w:ascii="Garamond" w:hAnsi="Garamond"/>
          <w:spacing w:val="12"/>
        </w:rPr>
        <w:t xml:space="preserve"> </w:t>
      </w:r>
      <w:r w:rsidRPr="00116D0B">
        <w:rPr>
          <w:rFonts w:ascii="Garamond" w:hAnsi="Garamond"/>
        </w:rPr>
        <w:t>Making</w:t>
      </w:r>
      <w:r w:rsidRPr="00116D0B">
        <w:rPr>
          <w:rFonts w:ascii="Garamond" w:hAnsi="Garamond"/>
          <w:spacing w:val="9"/>
        </w:rPr>
        <w:t xml:space="preserve"> </w:t>
      </w:r>
      <w:r w:rsidRPr="00116D0B">
        <w:rPr>
          <w:rFonts w:ascii="Garamond" w:hAnsi="Garamond"/>
        </w:rPr>
        <w:t>IDPs</w:t>
      </w:r>
      <w:r w:rsidRPr="00116D0B">
        <w:rPr>
          <w:rFonts w:ascii="Garamond" w:hAnsi="Garamond"/>
          <w:spacing w:val="11"/>
        </w:rPr>
        <w:t xml:space="preserve"> </w:t>
      </w:r>
      <w:r w:rsidRPr="00116D0B">
        <w:rPr>
          <w:rFonts w:ascii="Garamond" w:hAnsi="Garamond"/>
        </w:rPr>
        <w:t>more open</w:t>
      </w:r>
      <w:r w:rsidRPr="00116D0B">
        <w:rPr>
          <w:rFonts w:ascii="Garamond" w:hAnsi="Garamond"/>
          <w:spacing w:val="1"/>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exploitation</w:t>
      </w:r>
      <w:r w:rsidRPr="00116D0B">
        <w:rPr>
          <w:rFonts w:ascii="Garamond" w:hAnsi="Garamond"/>
          <w:spacing w:val="1"/>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violence</w:t>
      </w:r>
      <w:r w:rsidRPr="00116D0B">
        <w:rPr>
          <w:rFonts w:ascii="Garamond" w:hAnsi="Garamond"/>
          <w:spacing w:val="1"/>
        </w:rPr>
        <w:t xml:space="preserve"> </w:t>
      </w:r>
      <w:r w:rsidRPr="00116D0B">
        <w:rPr>
          <w:rFonts w:ascii="Garamond" w:hAnsi="Garamond"/>
        </w:rPr>
        <w:t>in</w:t>
      </w:r>
      <w:r w:rsidRPr="00116D0B">
        <w:rPr>
          <w:rFonts w:ascii="Garamond" w:hAnsi="Garamond"/>
          <w:spacing w:val="1"/>
        </w:rPr>
        <w:t xml:space="preserve"> </w:t>
      </w:r>
      <w:r w:rsidRPr="00116D0B">
        <w:rPr>
          <w:rFonts w:ascii="Garamond" w:hAnsi="Garamond"/>
        </w:rPr>
        <w:t>these</w:t>
      </w:r>
      <w:r w:rsidRPr="00116D0B">
        <w:rPr>
          <w:rFonts w:ascii="Garamond" w:hAnsi="Garamond"/>
          <w:spacing w:val="1"/>
        </w:rPr>
        <w:t xml:space="preserve"> </w:t>
      </w:r>
      <w:r w:rsidRPr="00116D0B">
        <w:rPr>
          <w:rFonts w:ascii="Garamond" w:hAnsi="Garamond"/>
        </w:rPr>
        <w:t>communities</w:t>
      </w:r>
      <w:r w:rsidRPr="00116D0B">
        <w:rPr>
          <w:rStyle w:val="FootnoteReference"/>
          <w:rFonts w:ascii="Garamond" w:hAnsi="Garamond"/>
        </w:rPr>
        <w:footnoteReference w:id="3"/>
      </w:r>
      <w:r w:rsidRPr="00116D0B">
        <w:rPr>
          <w:rFonts w:ascii="Garamond" w:hAnsi="Garamond"/>
        </w:rPr>
        <w:t>.</w:t>
      </w:r>
      <w:r w:rsidRPr="00116D0B">
        <w:rPr>
          <w:rFonts w:ascii="Garamond" w:hAnsi="Garamond"/>
          <w:spacing w:val="1"/>
          <w:position w:val="8"/>
        </w:rPr>
        <w:t xml:space="preserve"> </w:t>
      </w:r>
      <w:r w:rsidRPr="00116D0B">
        <w:rPr>
          <w:rFonts w:ascii="Garamond" w:hAnsi="Garamond"/>
        </w:rPr>
        <w:t>Additionally,</w:t>
      </w:r>
      <w:r w:rsidRPr="00116D0B">
        <w:rPr>
          <w:rFonts w:ascii="Garamond" w:hAnsi="Garamond"/>
          <w:spacing w:val="1"/>
        </w:rPr>
        <w:t xml:space="preserve"> </w:t>
      </w:r>
      <w:r w:rsidRPr="00116D0B">
        <w:rPr>
          <w:rFonts w:ascii="Garamond" w:hAnsi="Garamond"/>
        </w:rPr>
        <w:t>gender</w:t>
      </w:r>
      <w:r w:rsidRPr="00116D0B">
        <w:rPr>
          <w:rFonts w:ascii="Garamond" w:hAnsi="Garamond"/>
          <w:spacing w:val="1"/>
        </w:rPr>
        <w:t xml:space="preserve"> </w:t>
      </w:r>
      <w:r w:rsidRPr="00116D0B">
        <w:rPr>
          <w:rFonts w:ascii="Garamond" w:hAnsi="Garamond"/>
        </w:rPr>
        <w:t>differential effects of displacements and inadequate social cohesion have been observed</w:t>
      </w:r>
      <w:r w:rsidRPr="00116D0B">
        <w:rPr>
          <w:rFonts w:ascii="Garamond" w:hAnsi="Garamond"/>
          <w:spacing w:val="1"/>
        </w:rPr>
        <w:t xml:space="preserve"> </w:t>
      </w:r>
      <w:r w:rsidRPr="00116D0B">
        <w:rPr>
          <w:rFonts w:ascii="Garamond" w:hAnsi="Garamond"/>
        </w:rPr>
        <w:t>as putting women, children, and people with disabilities at more disadvantage thereby</w:t>
      </w:r>
      <w:r w:rsidRPr="00116D0B">
        <w:rPr>
          <w:rFonts w:ascii="Garamond" w:hAnsi="Garamond"/>
          <w:spacing w:val="1"/>
        </w:rPr>
        <w:t xml:space="preserve"> </w:t>
      </w:r>
      <w:r w:rsidRPr="00116D0B">
        <w:rPr>
          <w:rFonts w:ascii="Garamond" w:hAnsi="Garamond"/>
        </w:rPr>
        <w:t>increasing</w:t>
      </w:r>
      <w:r w:rsidRPr="00116D0B">
        <w:rPr>
          <w:rFonts w:ascii="Garamond" w:hAnsi="Garamond"/>
          <w:spacing w:val="-2"/>
        </w:rPr>
        <w:t xml:space="preserve"> </w:t>
      </w:r>
      <w:r w:rsidRPr="00116D0B">
        <w:rPr>
          <w:rFonts w:ascii="Garamond" w:hAnsi="Garamond"/>
        </w:rPr>
        <w:t>their</w:t>
      </w:r>
      <w:r w:rsidRPr="00116D0B">
        <w:rPr>
          <w:rFonts w:ascii="Garamond" w:hAnsi="Garamond"/>
          <w:spacing w:val="-1"/>
        </w:rPr>
        <w:t xml:space="preserve"> </w:t>
      </w:r>
      <w:r w:rsidRPr="00116D0B">
        <w:rPr>
          <w:rFonts w:ascii="Garamond" w:hAnsi="Garamond"/>
        </w:rPr>
        <w:t>already</w:t>
      </w:r>
      <w:r w:rsidRPr="00116D0B">
        <w:rPr>
          <w:rFonts w:ascii="Garamond" w:hAnsi="Garamond"/>
          <w:spacing w:val="1"/>
        </w:rPr>
        <w:t xml:space="preserve"> </w:t>
      </w:r>
      <w:r w:rsidRPr="00116D0B">
        <w:rPr>
          <w:rFonts w:ascii="Garamond" w:hAnsi="Garamond"/>
        </w:rPr>
        <w:t>vulnerable</w:t>
      </w:r>
      <w:r w:rsidRPr="00116D0B">
        <w:rPr>
          <w:rFonts w:ascii="Garamond" w:hAnsi="Garamond"/>
          <w:spacing w:val="1"/>
        </w:rPr>
        <w:t xml:space="preserve"> </w:t>
      </w:r>
      <w:r w:rsidRPr="00116D0B">
        <w:rPr>
          <w:rFonts w:ascii="Garamond" w:hAnsi="Garamond"/>
        </w:rPr>
        <w:t>state.</w:t>
      </w:r>
    </w:p>
    <w:p w14:paraId="5CED0CD1" w14:textId="0DFE75A3" w:rsidR="0073762A" w:rsidRDefault="003204CD" w:rsidP="003204CD">
      <w:pPr>
        <w:pStyle w:val="BodyText"/>
        <w:spacing w:before="240" w:after="240" w:line="276" w:lineRule="auto"/>
        <w:ind w:right="217"/>
        <w:jc w:val="both"/>
        <w:rPr>
          <w:rFonts w:ascii="Garamond" w:hAnsi="Garamond"/>
        </w:rPr>
      </w:pPr>
      <w:r w:rsidRPr="00116D0B">
        <w:rPr>
          <w:rFonts w:ascii="Garamond" w:hAnsi="Garamond"/>
        </w:rPr>
        <w:t xml:space="preserve">Following the insurgency, there was widespread devastation: loss of livelihoods and economic activity, infrastructure and property sustained extensive damage, access to basic services became limited, and many affected individuals suffered psychological and health repercussions. </w:t>
      </w:r>
      <w:r w:rsidR="0073762A" w:rsidRPr="00116D0B">
        <w:rPr>
          <w:rFonts w:ascii="Garamond" w:hAnsi="Garamond"/>
        </w:rPr>
        <w:t>Recognizing all these, the Nigerian government began the process of creating policy and legal frameworks regarding the rights and protection of IDPs and the return and resettlement of those displaced by conflict. The most significant of these is the discourse towards the domestication of the Kampala Convention on Internally Displaced Persons (IDP). Several initiatives were also set up to respond to the short and mid-term needs of the IDPs and Returnees. The main initiatives include the Presidential Initiative for the North East (PINE), later replaced by the Presidential Committee on North East Initiatives (PCNI) which was the apex body coordinating responses to the crisis. PCNI in 2019 handed over operations to the North East Development Commission, a federal government established parastatal</w:t>
      </w:r>
      <w:r w:rsidR="0073762A" w:rsidRPr="00116D0B">
        <w:rPr>
          <w:rStyle w:val="FootnoteReference"/>
          <w:rFonts w:ascii="Garamond" w:hAnsi="Garamond"/>
        </w:rPr>
        <w:footnoteReference w:id="4"/>
      </w:r>
      <w:r w:rsidR="0073762A" w:rsidRPr="00116D0B">
        <w:rPr>
          <w:rFonts w:ascii="Garamond" w:hAnsi="Garamond"/>
        </w:rPr>
        <w:t>. </w:t>
      </w:r>
    </w:p>
    <w:p w14:paraId="35BDDBE5" w14:textId="7857E900" w:rsidR="00757A6C" w:rsidRPr="00116D0B" w:rsidRDefault="00757A6C" w:rsidP="00757A6C">
      <w:pPr>
        <w:pStyle w:val="Heading2"/>
        <w:spacing w:line="276" w:lineRule="auto"/>
        <w:jc w:val="both"/>
        <w:rPr>
          <w:b w:val="0"/>
          <w:szCs w:val="24"/>
        </w:rPr>
      </w:pPr>
      <w:bookmarkStart w:id="15" w:name="_Toc166775405"/>
      <w:r w:rsidRPr="00116D0B">
        <w:rPr>
          <w:szCs w:val="24"/>
        </w:rPr>
        <w:t>1.1</w:t>
      </w:r>
      <w:r w:rsidRPr="00116D0B">
        <w:rPr>
          <w:szCs w:val="24"/>
        </w:rPr>
        <w:tab/>
      </w:r>
      <w:r>
        <w:rPr>
          <w:szCs w:val="24"/>
        </w:rPr>
        <w:t>Citizen Participation i</w:t>
      </w:r>
      <w:r w:rsidRPr="00757A6C">
        <w:rPr>
          <w:szCs w:val="24"/>
        </w:rPr>
        <w:t>n Adamawa State</w:t>
      </w:r>
      <w:bookmarkEnd w:id="15"/>
    </w:p>
    <w:p w14:paraId="3074F72D" w14:textId="0B9E11AA"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 xml:space="preserve">According to </w:t>
      </w:r>
      <w:r>
        <w:rPr>
          <w:rFonts w:ascii="Garamond" w:hAnsi="Garamond"/>
          <w:sz w:val="24"/>
          <w:szCs w:val="24"/>
        </w:rPr>
        <w:t xml:space="preserve">the United Nations </w:t>
      </w:r>
      <w:r w:rsidRPr="00585726">
        <w:rPr>
          <w:rFonts w:ascii="Garamond" w:hAnsi="Garamond"/>
          <w:sz w:val="24"/>
          <w:szCs w:val="24"/>
        </w:rPr>
        <w:t>participation is vital for improving the economic, social, and cultural conditions of communities and integrating them into national life. Participation as the voluntary involvement of people in decisions directly affecting their lives</w:t>
      </w:r>
      <w:r>
        <w:rPr>
          <w:rFonts w:ascii="Garamond" w:hAnsi="Garamond"/>
          <w:sz w:val="24"/>
          <w:szCs w:val="24"/>
        </w:rPr>
        <w:t xml:space="preserve">. </w:t>
      </w:r>
      <w:r w:rsidRPr="00585726">
        <w:rPr>
          <w:rFonts w:ascii="Garamond" w:hAnsi="Garamond"/>
          <w:sz w:val="24"/>
          <w:szCs w:val="24"/>
        </w:rPr>
        <w:t xml:space="preserve">In Adamawa State, citizen participation in planning and decision-making processes is particularly complex in Michika, where a significant disconnect exists between political and traditional institutions and community members. This gap is compounded by prolonged conflicts that have caused widespread displacement. Historically, integration programs lacked active participation from both displaced and host communities, rendering these interventions unsustainable. Consequently, there is a pressing need for government actors to adopt transparent and </w:t>
      </w:r>
      <w:r w:rsidRPr="00585726">
        <w:rPr>
          <w:rFonts w:ascii="Garamond" w:hAnsi="Garamond"/>
          <w:sz w:val="24"/>
          <w:szCs w:val="24"/>
        </w:rPr>
        <w:lastRenderedPageBreak/>
        <w:t>responsive decision-making practices, emphasizing accountability to better reflect the people's will</w:t>
      </w:r>
      <w:r>
        <w:rPr>
          <w:rStyle w:val="FootnoteReference"/>
          <w:rFonts w:ascii="Garamond" w:hAnsi="Garamond"/>
          <w:sz w:val="24"/>
          <w:szCs w:val="24"/>
        </w:rPr>
        <w:footnoteReference w:id="5"/>
      </w:r>
      <w:r w:rsidRPr="00585726">
        <w:rPr>
          <w:rFonts w:ascii="Garamond" w:hAnsi="Garamond"/>
          <w:sz w:val="24"/>
          <w:szCs w:val="24"/>
        </w:rPr>
        <w:t>.</w:t>
      </w:r>
    </w:p>
    <w:p w14:paraId="123B52E4"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The wide rift between political and traditional elites and the civilian population contributes to regional instability and unrest, exemplified by the farmer-herder conflict, ethnic clashes, and Boko Haram insurgency. This instability undermines social cohesion and places vulnerable groups, such as women, children, older persons, and minorities, at greater risk. Key governmental and non-governmental actors fail to deliver services that meet the needs of these groups, eroding trust in government and weakening social relations. The lack of inclusive participatory processes means the needs of disadvantaged groups are often overlooked, and opportunities to build participatory processes and strengthen community capacities remain untapped.</w:t>
      </w:r>
    </w:p>
    <w:p w14:paraId="08E7AAA1"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Recognizing these challenges, the Adamawa State government introduced the Citizen Engagement and Participatory Policy (CEPP) to foster open, transparent, and inclusive governance. This policy aligns with global trends of 'Open Government' and public sector reforms, promoting a governance paradigm centered on process, politics, and partnerships, supported by organizations like GIZ and the World Bank. Despite these efforts, annual budgeting activities in Adamawa State remain largely exclusive, involving few executives and minimal citizen input, resulting in budgets that fail to address citizens' priority needs.</w:t>
      </w:r>
    </w:p>
    <w:p w14:paraId="3A89A600"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In Michika LGA, the planning and budgeting processes are notably top-down, lacking necessary platforms for citizen participation. Decisions are often made by a select few, leading to resource wastage as government projects do not align with community needs. However, initiatives like the Follow Taxes Network, supported by USAID, have begun to bridge this gap by training community representatives as facilitators to develop and submit community development plans (CDPs) that inform LGA budgets. These efforts, aligned with the CEPP policy, aim to enhance community cohesion and planning, demonstrating potential for broader application across other wards.</w:t>
      </w:r>
    </w:p>
    <w:p w14:paraId="4DB21ABA" w14:textId="19792B84"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Currently, Adamawa State employs two methods to incorporate citizen input into the state budget: engagement by the state planning commission at the zonal level, and consideration of structured CDP committees that document and submit their needs. However, both methods often neglect community priorities. The inaugural state-level citizen engagement and public budget consu</w:t>
      </w:r>
      <w:r w:rsidR="0002126A">
        <w:rPr>
          <w:rFonts w:ascii="Garamond" w:hAnsi="Garamond"/>
          <w:sz w:val="24"/>
          <w:szCs w:val="24"/>
        </w:rPr>
        <w:t xml:space="preserve">ltation in 2022 highlighted the </w:t>
      </w:r>
      <w:r w:rsidRPr="00585726">
        <w:rPr>
          <w:rFonts w:ascii="Garamond" w:hAnsi="Garamond"/>
          <w:sz w:val="24"/>
          <w:szCs w:val="24"/>
        </w:rPr>
        <w:t>disconnect between LGA and state-level budgetary processes, revealing a non-inclusive, non-participatory approach that fails to adequately involve citizens.</w:t>
      </w:r>
    </w:p>
    <w:p w14:paraId="44B82B69"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Lessons from the CEPP policy's initial implementation revealed significant deficiencies in the existing planning and budgeting processes at local and state levels. The CEPP framework's launch facilitated the first-ever Citizen Engagement and Public Budget Consultations forum, engaging citizens and stakeholders in an inclusive development process. Despite this progress, many LGAs, including Michika, remain excluded from such initiatives, underscoring the need for a more inclusive and transparent approach.</w:t>
      </w:r>
    </w:p>
    <w:p w14:paraId="68662CD0"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 xml:space="preserve">The current budget process in Michika LGA is characterized by exclusivity, with executives hijacking the process and minimal citizen engagement. The process involves budget proposals from various departments, compiled and reviewed by the council, but lacks the integration of citizens' needs. This disconnect is further aggravated by a lack of capacity and understanding among both citizens and local </w:t>
      </w:r>
      <w:r w:rsidRPr="00585726">
        <w:rPr>
          <w:rFonts w:ascii="Garamond" w:hAnsi="Garamond"/>
          <w:sz w:val="24"/>
          <w:szCs w:val="24"/>
        </w:rPr>
        <w:lastRenderedPageBreak/>
        <w:t>authorities regarding the importance of a transparent and integrated approach.</w:t>
      </w:r>
    </w:p>
    <w:p w14:paraId="32D22751" w14:textId="3DE379D9"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Moreover, the decade-long crises have left communities largely disinterested in governance and development planning. The state's executive is not mandated to engage the public during budget formulation, nor is there a mechanism to gather public perspectives on budget priorities. The 2018 State Budget Transparency Survey highlighted the lack of transparency, inclusiveness, and prioritization of citizens' needs in the budget planning and preparation process</w:t>
      </w:r>
      <w:r w:rsidR="002F4ACA">
        <w:rPr>
          <w:rStyle w:val="FootnoteReference"/>
          <w:rFonts w:ascii="Garamond" w:hAnsi="Garamond"/>
          <w:sz w:val="24"/>
          <w:szCs w:val="24"/>
        </w:rPr>
        <w:footnoteReference w:id="6"/>
      </w:r>
      <w:r w:rsidRPr="00585726">
        <w:rPr>
          <w:rFonts w:ascii="Garamond" w:hAnsi="Garamond"/>
          <w:sz w:val="24"/>
          <w:szCs w:val="24"/>
        </w:rPr>
        <w:t>.</w:t>
      </w:r>
    </w:p>
    <w:p w14:paraId="433B1CA7"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Challenges in mobilizing communities for CDP planning include financial expectations from development partners, mismatched LGA budgets and revenues, and bureaucratic hurdles in integrating community plans into higher-level budgets. The poor release of budgeted funds and lack of transparency in procurement further hinder effective implementation.</w:t>
      </w:r>
    </w:p>
    <w:p w14:paraId="4DC6FE6C" w14:textId="12113BA1"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Despite these challenges, the operationalization of the CEPP policy offers opportunities for improved engagement between governments and citizens. Past projects have shown that community-led initiatives better address felt needs, suggesting that a participatory, gender-responsive approach can effectively identify and integrate community priorities into LGA and state budgets</w:t>
      </w:r>
      <w:r w:rsidR="00E16C0B">
        <w:rPr>
          <w:rStyle w:val="FootnoteReference"/>
          <w:rFonts w:ascii="Garamond" w:hAnsi="Garamond"/>
          <w:sz w:val="24"/>
          <w:szCs w:val="24"/>
        </w:rPr>
        <w:footnoteReference w:id="7"/>
      </w:r>
      <w:r w:rsidRPr="00585726">
        <w:rPr>
          <w:rFonts w:ascii="Garamond" w:hAnsi="Garamond"/>
          <w:sz w:val="24"/>
          <w:szCs w:val="24"/>
        </w:rPr>
        <w:t>. Strengthening the capacities of LGA officials in planning and budgeting is crucial for sustainable development, and addressing gaps identified in previous CDP programming can further enhance community participation and planning processes in Adamawa State.</w:t>
      </w:r>
    </w:p>
    <w:p w14:paraId="661B4136" w14:textId="77777777" w:rsidR="00757A6C" w:rsidRPr="00585726" w:rsidRDefault="00757A6C" w:rsidP="00757A6C">
      <w:pPr>
        <w:tabs>
          <w:tab w:val="left" w:pos="5940"/>
        </w:tabs>
        <w:spacing w:after="160" w:line="259" w:lineRule="auto"/>
        <w:jc w:val="both"/>
        <w:rPr>
          <w:rFonts w:ascii="Garamond" w:hAnsi="Garamond"/>
          <w:sz w:val="24"/>
          <w:szCs w:val="24"/>
        </w:rPr>
      </w:pPr>
      <w:r w:rsidRPr="00585726">
        <w:rPr>
          <w:rFonts w:ascii="Garamond" w:hAnsi="Garamond"/>
          <w:sz w:val="24"/>
          <w:szCs w:val="24"/>
        </w:rPr>
        <w:t>Furthermore, many communities in Michika have taken the initiative to undertake or refurbish projects, illustrating a grassroots eff</w:t>
      </w:r>
      <w:r>
        <w:rPr>
          <w:rFonts w:ascii="Garamond" w:hAnsi="Garamond"/>
          <w:sz w:val="24"/>
          <w:szCs w:val="24"/>
        </w:rPr>
        <w:t>ort to improve local conditions</w:t>
      </w:r>
      <w:r w:rsidRPr="00585726">
        <w:rPr>
          <w:rFonts w:ascii="Garamond" w:hAnsi="Garamond"/>
          <w:sz w:val="24"/>
          <w:szCs w:val="24"/>
        </w:rPr>
        <w:t>. Development agencies emphasize a "bottom-up" approach, allowing communities to identify their development priorities, which public sectors can then support</w:t>
      </w:r>
      <w:r>
        <w:rPr>
          <w:rFonts w:ascii="Garamond" w:hAnsi="Garamond"/>
          <w:sz w:val="24"/>
          <w:szCs w:val="24"/>
        </w:rPr>
        <w:t xml:space="preserve">. </w:t>
      </w:r>
      <w:r w:rsidRPr="00585726">
        <w:rPr>
          <w:rFonts w:ascii="Garamond" w:hAnsi="Garamond"/>
          <w:sz w:val="24"/>
          <w:szCs w:val="24"/>
        </w:rPr>
        <w:t>This approach aligns with the principles of the CEPP policy, aiming to empower communities and enhance the sustainability of development efforts in Adamawa State.</w:t>
      </w:r>
    </w:p>
    <w:p w14:paraId="0D11981A" w14:textId="7CEA6E4E" w:rsidR="0073762A" w:rsidRPr="00116D0B" w:rsidRDefault="00757A6C" w:rsidP="00C3723C">
      <w:pPr>
        <w:pStyle w:val="Heading2"/>
        <w:spacing w:line="276" w:lineRule="auto"/>
        <w:jc w:val="both"/>
        <w:rPr>
          <w:b w:val="0"/>
          <w:szCs w:val="24"/>
        </w:rPr>
      </w:pPr>
      <w:bookmarkStart w:id="16" w:name="_Toc166775406"/>
      <w:r>
        <w:rPr>
          <w:szCs w:val="24"/>
        </w:rPr>
        <w:t>1.2</w:t>
      </w:r>
      <w:r w:rsidR="0073762A" w:rsidRPr="00116D0B">
        <w:rPr>
          <w:szCs w:val="24"/>
        </w:rPr>
        <w:tab/>
        <w:t>Michika Local Government</w:t>
      </w:r>
      <w:bookmarkEnd w:id="16"/>
      <w:r w:rsidR="0073762A" w:rsidRPr="00116D0B">
        <w:rPr>
          <w:szCs w:val="24"/>
        </w:rPr>
        <w:t xml:space="preserve"> </w:t>
      </w:r>
    </w:p>
    <w:p w14:paraId="7704DFAE" w14:textId="77777777"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 xml:space="preserve">The Higgi, also known as the </w:t>
      </w:r>
      <w:proofErr w:type="spellStart"/>
      <w:r w:rsidRPr="00116D0B">
        <w:rPr>
          <w:rFonts w:ascii="Garamond" w:hAnsi="Garamond"/>
        </w:rPr>
        <w:t>Kamwe</w:t>
      </w:r>
      <w:proofErr w:type="spellEnd"/>
      <w:r w:rsidRPr="00116D0B">
        <w:rPr>
          <w:rFonts w:ascii="Garamond" w:hAnsi="Garamond"/>
        </w:rPr>
        <w:t xml:space="preserve">, are inhabitants of Northeastern Nigeria's Michika Local Government Area. It is estimated that there are more than a million </w:t>
      </w:r>
      <w:proofErr w:type="spellStart"/>
      <w:r w:rsidRPr="00116D0B">
        <w:rPr>
          <w:rFonts w:ascii="Garamond" w:hAnsi="Garamond"/>
        </w:rPr>
        <w:t>Kamwe</w:t>
      </w:r>
      <w:proofErr w:type="spellEnd"/>
      <w:r w:rsidRPr="00116D0B">
        <w:rPr>
          <w:rFonts w:ascii="Garamond" w:hAnsi="Garamond"/>
        </w:rPr>
        <w:t xml:space="preserve"> people. The </w:t>
      </w:r>
      <w:proofErr w:type="spellStart"/>
      <w:r w:rsidRPr="00116D0B">
        <w:rPr>
          <w:rFonts w:ascii="Garamond" w:hAnsi="Garamond"/>
        </w:rPr>
        <w:t>Kamwe</w:t>
      </w:r>
      <w:proofErr w:type="spellEnd"/>
      <w:r w:rsidRPr="00116D0B">
        <w:rPr>
          <w:rFonts w:ascii="Garamond" w:hAnsi="Garamond"/>
        </w:rPr>
        <w:t xml:space="preserve"> claim eastern origin, just like other ethnic groups in Nigeria. Their ancestors are thought to have come from the Chad basin and are related to the </w:t>
      </w:r>
      <w:proofErr w:type="spellStart"/>
      <w:r w:rsidRPr="00116D0B">
        <w:rPr>
          <w:rFonts w:ascii="Garamond" w:hAnsi="Garamond"/>
        </w:rPr>
        <w:t>Marghi</w:t>
      </w:r>
      <w:proofErr w:type="spellEnd"/>
      <w:r w:rsidRPr="00116D0B">
        <w:rPr>
          <w:rFonts w:ascii="Garamond" w:hAnsi="Garamond"/>
        </w:rPr>
        <w:t xml:space="preserve"> and </w:t>
      </w:r>
      <w:proofErr w:type="spellStart"/>
      <w:r w:rsidRPr="00116D0B">
        <w:rPr>
          <w:rFonts w:ascii="Garamond" w:hAnsi="Garamond"/>
        </w:rPr>
        <w:t>Kilba</w:t>
      </w:r>
      <w:proofErr w:type="spellEnd"/>
      <w:r w:rsidRPr="00116D0B">
        <w:rPr>
          <w:rFonts w:ascii="Garamond" w:hAnsi="Garamond"/>
        </w:rPr>
        <w:t xml:space="preserve"> tribes. Nevertheless, all </w:t>
      </w:r>
      <w:proofErr w:type="spellStart"/>
      <w:r w:rsidRPr="00116D0B">
        <w:rPr>
          <w:rFonts w:ascii="Garamond" w:hAnsi="Garamond"/>
        </w:rPr>
        <w:t>Kamwe</w:t>
      </w:r>
      <w:proofErr w:type="spellEnd"/>
      <w:r w:rsidRPr="00116D0B">
        <w:rPr>
          <w:rFonts w:ascii="Garamond" w:hAnsi="Garamond"/>
        </w:rPr>
        <w:t xml:space="preserve"> (</w:t>
      </w:r>
      <w:proofErr w:type="spellStart"/>
      <w:r w:rsidRPr="00116D0B">
        <w:rPr>
          <w:rFonts w:ascii="Garamond" w:hAnsi="Garamond"/>
        </w:rPr>
        <w:t>Higgi</w:t>
      </w:r>
      <w:proofErr w:type="spellEnd"/>
      <w:r w:rsidRPr="00116D0B">
        <w:rPr>
          <w:rFonts w:ascii="Garamond" w:hAnsi="Garamond"/>
        </w:rPr>
        <w:t xml:space="preserve">) people can trace their origin to </w:t>
      </w:r>
      <w:proofErr w:type="spellStart"/>
      <w:r w:rsidRPr="00116D0B">
        <w:rPr>
          <w:rFonts w:ascii="Garamond" w:hAnsi="Garamond"/>
        </w:rPr>
        <w:t>Mcakli</w:t>
      </w:r>
      <w:proofErr w:type="spellEnd"/>
      <w:r w:rsidRPr="00116D0B">
        <w:rPr>
          <w:rFonts w:ascii="Garamond" w:hAnsi="Garamond"/>
        </w:rPr>
        <w:t xml:space="preserve">, which means hail or an icy place and is thought to be in Cameroon. From there, they moved to the Mandara Hills region of northeastern Nigeria. </w:t>
      </w:r>
    </w:p>
    <w:p w14:paraId="110605EF" w14:textId="5AD6BDA3" w:rsidR="0073762A" w:rsidRPr="00116D0B" w:rsidRDefault="0073762A" w:rsidP="00C3723C">
      <w:pPr>
        <w:pStyle w:val="BodyText"/>
        <w:spacing w:before="240" w:after="240" w:line="276" w:lineRule="auto"/>
        <w:ind w:right="217"/>
        <w:jc w:val="both"/>
        <w:rPr>
          <w:rFonts w:ascii="Garamond" w:hAnsi="Garamond"/>
        </w:rPr>
      </w:pPr>
      <w:r w:rsidRPr="00116D0B">
        <w:rPr>
          <w:rFonts w:ascii="Garamond" w:hAnsi="Garamond"/>
        </w:rPr>
        <w:t xml:space="preserve">The Michika people are predominantly farmers and highly industrious, as seen by their presence in Nigeria's major cities and towns where they work in a variety of trades including driving, baking, shoemaking, and the selling of groceries. Michika is a multicultural town with numerous bank branches, a technical college, a health technology college, and numerous secondary schools. Though there are a small number of Muslims and traditionalists, the majority of the population is Christian. Around the mountain, there are 801 villages and around 26 chiefdoms. The towns and cities are home to many tribes as well, including the Bura, </w:t>
      </w:r>
      <w:proofErr w:type="spellStart"/>
      <w:r w:rsidRPr="00116D0B">
        <w:rPr>
          <w:rFonts w:ascii="Garamond" w:hAnsi="Garamond"/>
        </w:rPr>
        <w:t>Kilba</w:t>
      </w:r>
      <w:proofErr w:type="spellEnd"/>
      <w:r w:rsidRPr="00116D0B">
        <w:rPr>
          <w:rFonts w:ascii="Garamond" w:hAnsi="Garamond"/>
        </w:rPr>
        <w:t xml:space="preserve">, and Margi (Dada, </w:t>
      </w:r>
      <w:proofErr w:type="spellStart"/>
      <w:r w:rsidRPr="00116D0B">
        <w:rPr>
          <w:rFonts w:ascii="Garamond" w:hAnsi="Garamond"/>
        </w:rPr>
        <w:t>Mangoro</w:t>
      </w:r>
      <w:proofErr w:type="spellEnd"/>
      <w:r w:rsidRPr="00116D0B">
        <w:rPr>
          <w:rFonts w:ascii="Garamond" w:hAnsi="Garamond"/>
        </w:rPr>
        <w:t xml:space="preserve">, and Williams 2005, 8). Terrorists from </w:t>
      </w:r>
      <w:r w:rsidRPr="00116D0B">
        <w:rPr>
          <w:rFonts w:ascii="Garamond" w:hAnsi="Garamond"/>
        </w:rPr>
        <w:lastRenderedPageBreak/>
        <w:t xml:space="preserve">Boko Haram initially arrived in Michika in 2012, since then it has </w:t>
      </w:r>
      <w:r w:rsidR="00E674DB" w:rsidRPr="00116D0B">
        <w:rPr>
          <w:rFonts w:ascii="Garamond" w:hAnsi="Garamond"/>
        </w:rPr>
        <w:t>been</w:t>
      </w:r>
      <w:r w:rsidRPr="00116D0B">
        <w:rPr>
          <w:rFonts w:ascii="Garamond" w:hAnsi="Garamond"/>
        </w:rPr>
        <w:t xml:space="preserve"> one of the most impacted regions, housing a significant number of internally displaced persons (IDPs) and refugees. The strongholds of the Boko Haram in Adamawa State are in the mountainous areas of Madagali, Mubi, Uba and Michika with the rough terrains providing ideal hideouts for the insurgents</w:t>
      </w:r>
      <w:r w:rsidRPr="00116D0B">
        <w:rPr>
          <w:rFonts w:ascii="Garamond" w:hAnsi="Garamond"/>
          <w:vertAlign w:val="superscript"/>
        </w:rPr>
        <w:footnoteReference w:id="8"/>
      </w:r>
      <w:r w:rsidRPr="00116D0B">
        <w:rPr>
          <w:rFonts w:ascii="Garamond" w:hAnsi="Garamond"/>
        </w:rPr>
        <w:t>.</w:t>
      </w:r>
    </w:p>
    <w:p w14:paraId="2F1E4EB5" w14:textId="77777777" w:rsidR="0073762A" w:rsidRPr="00116D0B" w:rsidRDefault="0073762A" w:rsidP="00C3723C">
      <w:pPr>
        <w:pStyle w:val="BodyText"/>
        <w:spacing w:before="240" w:after="240" w:line="276" w:lineRule="auto"/>
        <w:ind w:right="217"/>
        <w:jc w:val="both"/>
        <w:rPr>
          <w:rFonts w:ascii="Garamond" w:hAnsi="Garamond"/>
          <w:bCs/>
        </w:rPr>
      </w:pPr>
      <w:r w:rsidRPr="00116D0B">
        <w:rPr>
          <w:rFonts w:ascii="Garamond" w:hAnsi="Garamond"/>
          <w:bCs/>
        </w:rPr>
        <w:t>In view of these challenges, Oxfam, CEPAD, CRUDAN and Deutsche Gesellschaft für Internationale Zusammenarbeit (GIZ) GmbH with funding from the German Federal Ministry for Economic Cooperation and Development (BMZ) will be implementing an eight (8</w:t>
      </w:r>
      <w:r w:rsidR="003D73E5" w:rsidRPr="00116D0B">
        <w:rPr>
          <w:rFonts w:ascii="Garamond" w:hAnsi="Garamond"/>
          <w:bCs/>
        </w:rPr>
        <w:t>) -</w:t>
      </w:r>
      <w:r w:rsidRPr="00116D0B">
        <w:rPr>
          <w:rFonts w:ascii="Garamond" w:hAnsi="Garamond"/>
          <w:bCs/>
        </w:rPr>
        <w:t xml:space="preserve"> month project. </w:t>
      </w:r>
    </w:p>
    <w:p w14:paraId="38BE4807" w14:textId="7E57CB76" w:rsidR="0002126A" w:rsidRDefault="0073762A" w:rsidP="00C3723C">
      <w:pPr>
        <w:pStyle w:val="BodyText"/>
        <w:spacing w:before="240" w:after="240" w:line="276" w:lineRule="auto"/>
        <w:ind w:right="217"/>
        <w:jc w:val="both"/>
        <w:rPr>
          <w:rFonts w:ascii="Garamond" w:hAnsi="Garamond"/>
          <w:bCs/>
          <w:color w:val="000000" w:themeColor="text1"/>
        </w:rPr>
      </w:pPr>
      <w:r w:rsidRPr="00116D0B">
        <w:rPr>
          <w:rFonts w:ascii="Garamond" w:hAnsi="Garamond"/>
          <w:bCs/>
          <w:color w:val="000000" w:themeColor="text1"/>
        </w:rPr>
        <w:t xml:space="preserve">The project is aimed at establishing a local but comprehensive integrational approach to bring all members of the community to the path of sustainable growth with the </w:t>
      </w:r>
      <w:r w:rsidR="00E674DB" w:rsidRPr="00116D0B">
        <w:rPr>
          <w:rFonts w:ascii="Garamond" w:hAnsi="Garamond"/>
          <w:bCs/>
          <w:color w:val="000000" w:themeColor="text1"/>
        </w:rPr>
        <w:t>active</w:t>
      </w:r>
      <w:r w:rsidRPr="00116D0B">
        <w:rPr>
          <w:rFonts w:ascii="Garamond" w:hAnsi="Garamond"/>
          <w:bCs/>
          <w:color w:val="000000" w:themeColor="text1"/>
        </w:rPr>
        <w:t xml:space="preserve"> involvement of the </w:t>
      </w:r>
      <w:r w:rsidR="003D73E5" w:rsidRPr="00116D0B">
        <w:rPr>
          <w:rFonts w:ascii="Garamond" w:hAnsi="Garamond"/>
          <w:bCs/>
          <w:color w:val="000000" w:themeColor="text1"/>
        </w:rPr>
        <w:t>communities’</w:t>
      </w:r>
      <w:r w:rsidRPr="00116D0B">
        <w:rPr>
          <w:rFonts w:ascii="Garamond" w:hAnsi="Garamond"/>
          <w:bCs/>
          <w:color w:val="000000" w:themeColor="text1"/>
        </w:rPr>
        <w:t xml:space="preserve"> concerned and relevant government and non- governmental structures in Michika LGA.</w:t>
      </w:r>
    </w:p>
    <w:p w14:paraId="092556B2" w14:textId="77777777" w:rsidR="0002126A" w:rsidRDefault="0002126A">
      <w:pPr>
        <w:rPr>
          <w:rFonts w:ascii="Garamond" w:hAnsi="Garamond"/>
          <w:bCs/>
          <w:color w:val="000000" w:themeColor="text1"/>
          <w:sz w:val="24"/>
          <w:szCs w:val="24"/>
        </w:rPr>
      </w:pPr>
      <w:r>
        <w:rPr>
          <w:rFonts w:ascii="Garamond" w:hAnsi="Garamond"/>
          <w:bCs/>
          <w:color w:val="000000" w:themeColor="text1"/>
        </w:rPr>
        <w:br w:type="page"/>
      </w:r>
    </w:p>
    <w:p w14:paraId="3CA47C43" w14:textId="77777777" w:rsidR="00516F86" w:rsidRPr="00116D0B" w:rsidRDefault="00611E97" w:rsidP="00991B2C">
      <w:pPr>
        <w:pStyle w:val="Heading1"/>
        <w:numPr>
          <w:ilvl w:val="1"/>
          <w:numId w:val="1"/>
        </w:numPr>
        <w:tabs>
          <w:tab w:val="left" w:pos="270"/>
        </w:tabs>
        <w:spacing w:line="276" w:lineRule="auto"/>
        <w:ind w:left="450"/>
      </w:pPr>
      <w:bookmarkStart w:id="17" w:name="2.0_Project_Goal"/>
      <w:bookmarkStart w:id="18" w:name="_bookmark6"/>
      <w:bookmarkStart w:id="19" w:name="_Toc166775407"/>
      <w:bookmarkEnd w:id="17"/>
      <w:bookmarkEnd w:id="18"/>
      <w:r w:rsidRPr="00116D0B">
        <w:lastRenderedPageBreak/>
        <w:t>PROJECT GOAL</w:t>
      </w:r>
      <w:bookmarkEnd w:id="19"/>
    </w:p>
    <w:p w14:paraId="0D3FE518" w14:textId="2CF313F8" w:rsidR="00516F86" w:rsidRPr="00116D0B" w:rsidRDefault="00705660" w:rsidP="00C3723C">
      <w:pPr>
        <w:pStyle w:val="BodyText"/>
        <w:spacing w:before="240" w:after="240" w:line="276" w:lineRule="auto"/>
        <w:ind w:right="217"/>
        <w:jc w:val="both"/>
        <w:rPr>
          <w:rFonts w:ascii="Garamond" w:hAnsi="Garamond"/>
        </w:rPr>
      </w:pPr>
      <w:r w:rsidRPr="00116D0B">
        <w:rPr>
          <w:rFonts w:ascii="Garamond" w:hAnsi="Garamond"/>
        </w:rPr>
        <w:t>The</w:t>
      </w:r>
      <w:r w:rsidRPr="00116D0B">
        <w:rPr>
          <w:rFonts w:ascii="Garamond" w:hAnsi="Garamond"/>
          <w:spacing w:val="46"/>
        </w:rPr>
        <w:t xml:space="preserve"> </w:t>
      </w:r>
      <w:r w:rsidRPr="00116D0B">
        <w:rPr>
          <w:rFonts w:ascii="Garamond" w:hAnsi="Garamond"/>
        </w:rPr>
        <w:t>main</w:t>
      </w:r>
      <w:r w:rsidRPr="00116D0B">
        <w:rPr>
          <w:rFonts w:ascii="Garamond" w:hAnsi="Garamond"/>
          <w:spacing w:val="50"/>
        </w:rPr>
        <w:t xml:space="preserve"> </w:t>
      </w:r>
      <w:r w:rsidRPr="00116D0B">
        <w:rPr>
          <w:rFonts w:ascii="Garamond" w:hAnsi="Garamond"/>
        </w:rPr>
        <w:t>objective</w:t>
      </w:r>
      <w:r w:rsidRPr="00116D0B">
        <w:rPr>
          <w:rFonts w:ascii="Garamond" w:hAnsi="Garamond"/>
          <w:spacing w:val="48"/>
        </w:rPr>
        <w:t xml:space="preserve"> </w:t>
      </w:r>
      <w:r w:rsidRPr="00116D0B">
        <w:rPr>
          <w:rFonts w:ascii="Garamond" w:hAnsi="Garamond"/>
        </w:rPr>
        <w:t>of</w:t>
      </w:r>
      <w:r w:rsidRPr="00116D0B">
        <w:rPr>
          <w:rFonts w:ascii="Garamond" w:hAnsi="Garamond"/>
          <w:spacing w:val="49"/>
        </w:rPr>
        <w:t xml:space="preserve"> </w:t>
      </w:r>
      <w:r w:rsidRPr="00116D0B">
        <w:rPr>
          <w:rFonts w:ascii="Garamond" w:hAnsi="Garamond"/>
        </w:rPr>
        <w:t>the</w:t>
      </w:r>
      <w:r w:rsidRPr="00116D0B">
        <w:rPr>
          <w:rFonts w:ascii="Garamond" w:hAnsi="Garamond"/>
          <w:spacing w:val="46"/>
        </w:rPr>
        <w:t xml:space="preserve"> </w:t>
      </w:r>
      <w:r w:rsidRPr="00116D0B">
        <w:rPr>
          <w:rFonts w:ascii="Garamond" w:hAnsi="Garamond"/>
        </w:rPr>
        <w:t>project</w:t>
      </w:r>
      <w:r w:rsidRPr="00116D0B">
        <w:rPr>
          <w:rFonts w:ascii="Garamond" w:hAnsi="Garamond"/>
          <w:spacing w:val="49"/>
        </w:rPr>
        <w:t xml:space="preserve"> </w:t>
      </w:r>
      <w:r w:rsidRPr="00116D0B">
        <w:rPr>
          <w:rFonts w:ascii="Garamond" w:hAnsi="Garamond"/>
        </w:rPr>
        <w:t>is</w:t>
      </w:r>
      <w:r w:rsidRPr="00116D0B">
        <w:rPr>
          <w:rFonts w:ascii="Garamond" w:hAnsi="Garamond"/>
          <w:spacing w:val="49"/>
        </w:rPr>
        <w:t xml:space="preserve"> </w:t>
      </w:r>
      <w:r w:rsidRPr="00116D0B">
        <w:rPr>
          <w:rFonts w:ascii="Garamond" w:hAnsi="Garamond"/>
        </w:rPr>
        <w:t>to</w:t>
      </w:r>
      <w:r w:rsidRPr="00116D0B">
        <w:rPr>
          <w:rFonts w:ascii="Garamond" w:hAnsi="Garamond"/>
          <w:spacing w:val="48"/>
        </w:rPr>
        <w:t xml:space="preserve"> </w:t>
      </w:r>
      <w:r w:rsidRPr="00116D0B">
        <w:rPr>
          <w:rFonts w:ascii="Garamond" w:hAnsi="Garamond"/>
        </w:rPr>
        <w:t>increase</w:t>
      </w:r>
      <w:r w:rsidRPr="00116D0B">
        <w:rPr>
          <w:rFonts w:ascii="Garamond" w:hAnsi="Garamond"/>
          <w:spacing w:val="48"/>
        </w:rPr>
        <w:t xml:space="preserve"> </w:t>
      </w:r>
      <w:r w:rsidRPr="00116D0B">
        <w:rPr>
          <w:rFonts w:ascii="Garamond" w:hAnsi="Garamond"/>
        </w:rPr>
        <w:t>citizen</w:t>
      </w:r>
      <w:r w:rsidRPr="00116D0B">
        <w:rPr>
          <w:rFonts w:ascii="Garamond" w:hAnsi="Garamond"/>
          <w:spacing w:val="50"/>
        </w:rPr>
        <w:t xml:space="preserve"> </w:t>
      </w:r>
      <w:r w:rsidRPr="00116D0B">
        <w:rPr>
          <w:rFonts w:ascii="Garamond" w:hAnsi="Garamond"/>
        </w:rPr>
        <w:t>participation</w:t>
      </w:r>
      <w:r w:rsidRPr="00116D0B">
        <w:rPr>
          <w:rFonts w:ascii="Garamond" w:hAnsi="Garamond"/>
          <w:spacing w:val="49"/>
        </w:rPr>
        <w:t xml:space="preserve"> </w:t>
      </w:r>
      <w:r w:rsidRPr="00116D0B">
        <w:rPr>
          <w:rFonts w:ascii="Garamond" w:hAnsi="Garamond"/>
        </w:rPr>
        <w:t>and</w:t>
      </w:r>
      <w:r w:rsidRPr="00116D0B">
        <w:rPr>
          <w:rFonts w:ascii="Garamond" w:hAnsi="Garamond"/>
          <w:spacing w:val="49"/>
        </w:rPr>
        <w:t xml:space="preserve"> </w:t>
      </w:r>
      <w:r w:rsidRPr="00116D0B">
        <w:rPr>
          <w:rFonts w:ascii="Garamond" w:hAnsi="Garamond"/>
        </w:rPr>
        <w:t>strengthen</w:t>
      </w:r>
      <w:r w:rsidRPr="00116D0B">
        <w:rPr>
          <w:rFonts w:ascii="Garamond" w:hAnsi="Garamond"/>
          <w:spacing w:val="-56"/>
        </w:rPr>
        <w:t xml:space="preserve"> </w:t>
      </w:r>
      <w:r w:rsidR="00F16DC0">
        <w:rPr>
          <w:rFonts w:ascii="Garamond" w:hAnsi="Garamond"/>
          <w:spacing w:val="-56"/>
        </w:rPr>
        <w:t xml:space="preserve">         </w:t>
      </w:r>
      <w:r w:rsidRPr="00116D0B">
        <w:rPr>
          <w:rFonts w:ascii="Garamond" w:hAnsi="Garamond"/>
        </w:rPr>
        <w:t>social cohesion through the delivery of community-driven development interventions in</w:t>
      </w:r>
      <w:r w:rsidRPr="00116D0B">
        <w:rPr>
          <w:rFonts w:ascii="Garamond" w:hAnsi="Garamond"/>
          <w:spacing w:val="1"/>
        </w:rPr>
        <w:t xml:space="preserve"> </w:t>
      </w:r>
      <w:r w:rsidRPr="00116D0B">
        <w:rPr>
          <w:rFonts w:ascii="Garamond" w:hAnsi="Garamond"/>
        </w:rPr>
        <w:t>16</w:t>
      </w:r>
      <w:r w:rsidRPr="00116D0B">
        <w:rPr>
          <w:rFonts w:ascii="Garamond" w:hAnsi="Garamond"/>
          <w:spacing w:val="-3"/>
        </w:rPr>
        <w:t xml:space="preserve"> </w:t>
      </w:r>
      <w:r w:rsidRPr="00116D0B">
        <w:rPr>
          <w:rFonts w:ascii="Garamond" w:hAnsi="Garamond"/>
        </w:rPr>
        <w:t>wards</w:t>
      </w:r>
      <w:r w:rsidRPr="00116D0B">
        <w:rPr>
          <w:rFonts w:ascii="Garamond" w:hAnsi="Garamond"/>
          <w:spacing w:val="1"/>
        </w:rPr>
        <w:t xml:space="preserve"> </w:t>
      </w:r>
      <w:r w:rsidRPr="00116D0B">
        <w:rPr>
          <w:rFonts w:ascii="Garamond" w:hAnsi="Garamond"/>
        </w:rPr>
        <w:t>of Michika</w:t>
      </w:r>
      <w:r w:rsidRPr="00116D0B">
        <w:rPr>
          <w:rFonts w:ascii="Garamond" w:hAnsi="Garamond"/>
          <w:spacing w:val="1"/>
        </w:rPr>
        <w:t xml:space="preserve"> </w:t>
      </w:r>
      <w:r w:rsidRPr="00116D0B">
        <w:rPr>
          <w:rFonts w:ascii="Garamond" w:hAnsi="Garamond"/>
        </w:rPr>
        <w:t>LGA</w:t>
      </w:r>
      <w:r w:rsidRPr="00116D0B">
        <w:rPr>
          <w:rFonts w:ascii="Garamond" w:hAnsi="Garamond"/>
          <w:spacing w:val="-1"/>
        </w:rPr>
        <w:t xml:space="preserve"> </w:t>
      </w:r>
      <w:r w:rsidRPr="00116D0B">
        <w:rPr>
          <w:rFonts w:ascii="Garamond" w:hAnsi="Garamond"/>
        </w:rPr>
        <w:t>in</w:t>
      </w:r>
      <w:r w:rsidRPr="00116D0B">
        <w:rPr>
          <w:rFonts w:ascii="Garamond" w:hAnsi="Garamond"/>
          <w:spacing w:val="-1"/>
        </w:rPr>
        <w:t xml:space="preserve"> </w:t>
      </w:r>
      <w:r w:rsidRPr="00116D0B">
        <w:rPr>
          <w:rFonts w:ascii="Garamond" w:hAnsi="Garamond"/>
        </w:rPr>
        <w:t>Adamawa</w:t>
      </w:r>
      <w:r w:rsidRPr="00116D0B">
        <w:rPr>
          <w:rFonts w:ascii="Garamond" w:hAnsi="Garamond"/>
          <w:spacing w:val="1"/>
        </w:rPr>
        <w:t xml:space="preserve"> </w:t>
      </w:r>
      <w:r w:rsidRPr="00116D0B">
        <w:rPr>
          <w:rFonts w:ascii="Garamond" w:hAnsi="Garamond"/>
        </w:rPr>
        <w:t>State.</w:t>
      </w:r>
    </w:p>
    <w:p w14:paraId="67447985" w14:textId="77777777" w:rsidR="00516F86" w:rsidRPr="00116D0B" w:rsidRDefault="00705660" w:rsidP="00991B2C">
      <w:pPr>
        <w:pStyle w:val="Heading1"/>
        <w:numPr>
          <w:ilvl w:val="1"/>
          <w:numId w:val="1"/>
        </w:numPr>
        <w:spacing w:line="276" w:lineRule="auto"/>
        <w:ind w:left="360" w:hanging="408"/>
      </w:pPr>
      <w:bookmarkStart w:id="20" w:name="2.1_Project_Objectives"/>
      <w:bookmarkStart w:id="21" w:name="_bookmark7"/>
      <w:bookmarkStart w:id="22" w:name="_Toc166775408"/>
      <w:bookmarkEnd w:id="20"/>
      <w:bookmarkEnd w:id="21"/>
      <w:r w:rsidRPr="00116D0B">
        <w:t>Project</w:t>
      </w:r>
      <w:r w:rsidRPr="00116D0B">
        <w:rPr>
          <w:spacing w:val="-8"/>
        </w:rPr>
        <w:t xml:space="preserve"> </w:t>
      </w:r>
      <w:r w:rsidRPr="00116D0B">
        <w:t>Objectives</w:t>
      </w:r>
      <w:bookmarkEnd w:id="22"/>
    </w:p>
    <w:p w14:paraId="48F6DF2C" w14:textId="77777777" w:rsidR="00516F86" w:rsidRPr="00116D0B" w:rsidRDefault="00705660" w:rsidP="00C3723C">
      <w:pPr>
        <w:pStyle w:val="BodyText"/>
        <w:spacing w:before="240" w:after="240" w:line="276" w:lineRule="auto"/>
        <w:jc w:val="both"/>
        <w:rPr>
          <w:rFonts w:ascii="Garamond" w:hAnsi="Garamond"/>
        </w:rPr>
      </w:pPr>
      <w:r w:rsidRPr="00116D0B">
        <w:rPr>
          <w:rFonts w:ascii="Garamond" w:hAnsi="Garamond"/>
        </w:rPr>
        <w:t>The</w:t>
      </w:r>
      <w:r w:rsidRPr="00116D0B">
        <w:rPr>
          <w:rFonts w:ascii="Garamond" w:hAnsi="Garamond"/>
          <w:spacing w:val="-4"/>
        </w:rPr>
        <w:t xml:space="preserve"> </w:t>
      </w:r>
      <w:r w:rsidRPr="00116D0B">
        <w:rPr>
          <w:rFonts w:ascii="Garamond" w:hAnsi="Garamond"/>
        </w:rPr>
        <w:t>specific</w:t>
      </w:r>
      <w:r w:rsidRPr="00116D0B">
        <w:rPr>
          <w:rFonts w:ascii="Garamond" w:hAnsi="Garamond"/>
          <w:spacing w:val="-2"/>
        </w:rPr>
        <w:t xml:space="preserve"> </w:t>
      </w:r>
      <w:r w:rsidRPr="00116D0B">
        <w:rPr>
          <w:rFonts w:ascii="Garamond" w:hAnsi="Garamond"/>
        </w:rPr>
        <w:t>objectives</w:t>
      </w:r>
      <w:r w:rsidRPr="00116D0B">
        <w:rPr>
          <w:rFonts w:ascii="Garamond" w:hAnsi="Garamond"/>
          <w:spacing w:val="-1"/>
        </w:rPr>
        <w:t xml:space="preserve"> </w:t>
      </w:r>
      <w:r w:rsidRPr="00116D0B">
        <w:rPr>
          <w:rFonts w:ascii="Garamond" w:hAnsi="Garamond"/>
        </w:rPr>
        <w:t>of</w:t>
      </w:r>
      <w:r w:rsidRPr="00116D0B">
        <w:rPr>
          <w:rFonts w:ascii="Garamond" w:hAnsi="Garamond"/>
          <w:spacing w:val="-2"/>
        </w:rPr>
        <w:t xml:space="preserve"> </w:t>
      </w:r>
      <w:r w:rsidRPr="00116D0B">
        <w:rPr>
          <w:rFonts w:ascii="Garamond" w:hAnsi="Garamond"/>
        </w:rPr>
        <w:t>the</w:t>
      </w:r>
      <w:r w:rsidRPr="00116D0B">
        <w:rPr>
          <w:rFonts w:ascii="Garamond" w:hAnsi="Garamond"/>
          <w:spacing w:val="-4"/>
        </w:rPr>
        <w:t xml:space="preserve"> </w:t>
      </w:r>
      <w:r w:rsidRPr="00116D0B">
        <w:rPr>
          <w:rFonts w:ascii="Garamond" w:hAnsi="Garamond"/>
        </w:rPr>
        <w:t>project</w:t>
      </w:r>
      <w:r w:rsidRPr="00116D0B">
        <w:rPr>
          <w:rFonts w:ascii="Garamond" w:hAnsi="Garamond"/>
          <w:spacing w:val="-2"/>
        </w:rPr>
        <w:t xml:space="preserve"> </w:t>
      </w:r>
      <w:r w:rsidRPr="00116D0B">
        <w:rPr>
          <w:rFonts w:ascii="Garamond" w:hAnsi="Garamond"/>
        </w:rPr>
        <w:t>are.</w:t>
      </w:r>
    </w:p>
    <w:p w14:paraId="41DC7E7D" w14:textId="77777777" w:rsidR="00516F86" w:rsidRPr="00116D0B" w:rsidRDefault="00705660" w:rsidP="00991B2C">
      <w:pPr>
        <w:pStyle w:val="ListParagraph"/>
        <w:numPr>
          <w:ilvl w:val="2"/>
          <w:numId w:val="1"/>
        </w:numPr>
        <w:tabs>
          <w:tab w:val="left" w:pos="940"/>
        </w:tabs>
        <w:spacing w:before="240" w:after="240" w:line="276" w:lineRule="auto"/>
        <w:ind w:right="219"/>
        <w:jc w:val="both"/>
        <w:rPr>
          <w:rFonts w:ascii="Garamond" w:hAnsi="Garamond"/>
          <w:sz w:val="24"/>
          <w:szCs w:val="24"/>
        </w:rPr>
      </w:pPr>
      <w:r w:rsidRPr="00116D0B">
        <w:rPr>
          <w:rFonts w:ascii="Garamond" w:hAnsi="Garamond"/>
          <w:sz w:val="24"/>
          <w:szCs w:val="24"/>
        </w:rPr>
        <w:t>To improve participatory engagement and planning between local communities</w:t>
      </w:r>
      <w:r w:rsidRPr="00116D0B">
        <w:rPr>
          <w:rFonts w:ascii="Garamond" w:hAnsi="Garamond"/>
          <w:spacing w:val="1"/>
          <w:sz w:val="24"/>
          <w:szCs w:val="24"/>
        </w:rPr>
        <w:t xml:space="preserve"> </w:t>
      </w:r>
      <w:r w:rsidRPr="00116D0B">
        <w:rPr>
          <w:rFonts w:ascii="Garamond" w:hAnsi="Garamond"/>
          <w:sz w:val="24"/>
          <w:szCs w:val="24"/>
        </w:rPr>
        <w:t>and</w:t>
      </w:r>
      <w:r w:rsidRPr="00116D0B">
        <w:rPr>
          <w:rFonts w:ascii="Garamond" w:hAnsi="Garamond"/>
          <w:spacing w:val="1"/>
          <w:sz w:val="24"/>
          <w:szCs w:val="24"/>
        </w:rPr>
        <w:t xml:space="preserve"> </w:t>
      </w:r>
      <w:r w:rsidRPr="00116D0B">
        <w:rPr>
          <w:rFonts w:ascii="Garamond" w:hAnsi="Garamond"/>
          <w:sz w:val="24"/>
          <w:szCs w:val="24"/>
        </w:rPr>
        <w:t>government</w:t>
      </w:r>
      <w:r w:rsidRPr="00116D0B">
        <w:rPr>
          <w:rFonts w:ascii="Garamond" w:hAnsi="Garamond"/>
          <w:spacing w:val="1"/>
          <w:sz w:val="24"/>
          <w:szCs w:val="24"/>
        </w:rPr>
        <w:t xml:space="preserve"> </w:t>
      </w:r>
      <w:r w:rsidRPr="00116D0B">
        <w:rPr>
          <w:rFonts w:ascii="Garamond" w:hAnsi="Garamond"/>
          <w:sz w:val="24"/>
          <w:szCs w:val="24"/>
        </w:rPr>
        <w:t>stakeholders</w:t>
      </w:r>
      <w:r w:rsidRPr="00116D0B">
        <w:rPr>
          <w:rFonts w:ascii="Garamond" w:hAnsi="Garamond"/>
          <w:spacing w:val="1"/>
          <w:sz w:val="24"/>
          <w:szCs w:val="24"/>
        </w:rPr>
        <w:t xml:space="preserve"> </w:t>
      </w:r>
      <w:r w:rsidRPr="00116D0B">
        <w:rPr>
          <w:rFonts w:ascii="Garamond" w:hAnsi="Garamond"/>
          <w:sz w:val="24"/>
          <w:szCs w:val="24"/>
        </w:rPr>
        <w:t>towards</w:t>
      </w:r>
      <w:r w:rsidRPr="00116D0B">
        <w:rPr>
          <w:rFonts w:ascii="Garamond" w:hAnsi="Garamond"/>
          <w:spacing w:val="1"/>
          <w:sz w:val="24"/>
          <w:szCs w:val="24"/>
        </w:rPr>
        <w:t xml:space="preserve"> </w:t>
      </w:r>
      <w:r w:rsidRPr="00116D0B">
        <w:rPr>
          <w:rFonts w:ascii="Garamond" w:hAnsi="Garamond"/>
          <w:sz w:val="24"/>
          <w:szCs w:val="24"/>
        </w:rPr>
        <w:t>improved</w:t>
      </w:r>
      <w:r w:rsidRPr="00116D0B">
        <w:rPr>
          <w:rFonts w:ascii="Garamond" w:hAnsi="Garamond"/>
          <w:spacing w:val="1"/>
          <w:sz w:val="24"/>
          <w:szCs w:val="24"/>
        </w:rPr>
        <w:t xml:space="preserve"> </w:t>
      </w:r>
      <w:r w:rsidRPr="00116D0B">
        <w:rPr>
          <w:rFonts w:ascii="Garamond" w:hAnsi="Garamond"/>
          <w:sz w:val="24"/>
          <w:szCs w:val="24"/>
        </w:rPr>
        <w:t>socio-economic</w:t>
      </w:r>
      <w:r w:rsidRPr="00116D0B">
        <w:rPr>
          <w:rFonts w:ascii="Garamond" w:hAnsi="Garamond"/>
          <w:spacing w:val="1"/>
          <w:sz w:val="24"/>
          <w:szCs w:val="24"/>
        </w:rPr>
        <w:t xml:space="preserve"> </w:t>
      </w:r>
      <w:r w:rsidRPr="00116D0B">
        <w:rPr>
          <w:rFonts w:ascii="Garamond" w:hAnsi="Garamond"/>
          <w:sz w:val="24"/>
          <w:szCs w:val="24"/>
        </w:rPr>
        <w:t>outcomes</w:t>
      </w:r>
      <w:r w:rsidRPr="00116D0B">
        <w:rPr>
          <w:rFonts w:ascii="Garamond" w:hAnsi="Garamond"/>
          <w:spacing w:val="1"/>
          <w:sz w:val="24"/>
          <w:szCs w:val="24"/>
        </w:rPr>
        <w:t xml:space="preserve"> </w:t>
      </w:r>
      <w:r w:rsidRPr="00116D0B">
        <w:rPr>
          <w:rFonts w:ascii="Garamond" w:hAnsi="Garamond"/>
          <w:sz w:val="24"/>
          <w:szCs w:val="24"/>
        </w:rPr>
        <w:t>of</w:t>
      </w:r>
      <w:r w:rsidRPr="00116D0B">
        <w:rPr>
          <w:rFonts w:ascii="Garamond" w:hAnsi="Garamond"/>
          <w:spacing w:val="1"/>
          <w:sz w:val="24"/>
          <w:szCs w:val="24"/>
        </w:rPr>
        <w:t xml:space="preserve"> </w:t>
      </w:r>
      <w:r w:rsidRPr="00116D0B">
        <w:rPr>
          <w:rFonts w:ascii="Garamond" w:hAnsi="Garamond"/>
          <w:sz w:val="24"/>
          <w:szCs w:val="24"/>
        </w:rPr>
        <w:t>communities.</w:t>
      </w:r>
    </w:p>
    <w:p w14:paraId="42ED63A4" w14:textId="77777777" w:rsidR="00516F86" w:rsidRPr="00116D0B" w:rsidRDefault="00705660" w:rsidP="00991B2C">
      <w:pPr>
        <w:pStyle w:val="ListParagraph"/>
        <w:numPr>
          <w:ilvl w:val="2"/>
          <w:numId w:val="1"/>
        </w:numPr>
        <w:tabs>
          <w:tab w:val="left" w:pos="940"/>
        </w:tabs>
        <w:spacing w:before="240" w:after="240" w:line="276" w:lineRule="auto"/>
        <w:ind w:right="217"/>
        <w:jc w:val="both"/>
        <w:rPr>
          <w:rFonts w:ascii="Garamond" w:hAnsi="Garamond"/>
          <w:sz w:val="24"/>
          <w:szCs w:val="24"/>
        </w:rPr>
      </w:pPr>
      <w:r w:rsidRPr="00116D0B">
        <w:rPr>
          <w:rFonts w:ascii="Garamond" w:hAnsi="Garamond"/>
          <w:sz w:val="24"/>
          <w:szCs w:val="24"/>
        </w:rPr>
        <w:t>To</w:t>
      </w:r>
      <w:r w:rsidRPr="00116D0B">
        <w:rPr>
          <w:rFonts w:ascii="Garamond" w:hAnsi="Garamond"/>
          <w:spacing w:val="1"/>
          <w:sz w:val="24"/>
          <w:szCs w:val="24"/>
        </w:rPr>
        <w:t xml:space="preserve"> </w:t>
      </w:r>
      <w:r w:rsidRPr="00116D0B">
        <w:rPr>
          <w:rFonts w:ascii="Garamond" w:hAnsi="Garamond"/>
          <w:sz w:val="24"/>
          <w:szCs w:val="24"/>
        </w:rPr>
        <w:t>strengthen</w:t>
      </w:r>
      <w:r w:rsidRPr="00116D0B">
        <w:rPr>
          <w:rFonts w:ascii="Garamond" w:hAnsi="Garamond"/>
          <w:spacing w:val="1"/>
          <w:sz w:val="24"/>
          <w:szCs w:val="24"/>
        </w:rPr>
        <w:t xml:space="preserve"> </w:t>
      </w:r>
      <w:r w:rsidRPr="00116D0B">
        <w:rPr>
          <w:rFonts w:ascii="Garamond" w:hAnsi="Garamond"/>
          <w:sz w:val="24"/>
          <w:szCs w:val="24"/>
        </w:rPr>
        <w:t>social</w:t>
      </w:r>
      <w:r w:rsidRPr="00116D0B">
        <w:rPr>
          <w:rFonts w:ascii="Garamond" w:hAnsi="Garamond"/>
          <w:spacing w:val="1"/>
          <w:sz w:val="24"/>
          <w:szCs w:val="24"/>
        </w:rPr>
        <w:t xml:space="preserve"> </w:t>
      </w:r>
      <w:r w:rsidRPr="00116D0B">
        <w:rPr>
          <w:rFonts w:ascii="Garamond" w:hAnsi="Garamond"/>
          <w:sz w:val="24"/>
          <w:szCs w:val="24"/>
        </w:rPr>
        <w:t>cohesion</w:t>
      </w:r>
      <w:r w:rsidRPr="00116D0B">
        <w:rPr>
          <w:rFonts w:ascii="Garamond" w:hAnsi="Garamond"/>
          <w:spacing w:val="1"/>
          <w:sz w:val="24"/>
          <w:szCs w:val="24"/>
        </w:rPr>
        <w:t xml:space="preserve"> </w:t>
      </w:r>
      <w:r w:rsidRPr="00116D0B">
        <w:rPr>
          <w:rFonts w:ascii="Garamond" w:hAnsi="Garamond"/>
          <w:sz w:val="24"/>
          <w:szCs w:val="24"/>
        </w:rPr>
        <w:t>through</w:t>
      </w:r>
      <w:r w:rsidRPr="00116D0B">
        <w:rPr>
          <w:rFonts w:ascii="Garamond" w:hAnsi="Garamond"/>
          <w:spacing w:val="1"/>
          <w:sz w:val="24"/>
          <w:szCs w:val="24"/>
        </w:rPr>
        <w:t xml:space="preserve"> </w:t>
      </w:r>
      <w:r w:rsidRPr="00116D0B">
        <w:rPr>
          <w:rFonts w:ascii="Garamond" w:hAnsi="Garamond"/>
          <w:sz w:val="24"/>
          <w:szCs w:val="24"/>
        </w:rPr>
        <w:t>capacity</w:t>
      </w:r>
      <w:r w:rsidRPr="00116D0B">
        <w:rPr>
          <w:rFonts w:ascii="Garamond" w:hAnsi="Garamond"/>
          <w:spacing w:val="1"/>
          <w:sz w:val="24"/>
          <w:szCs w:val="24"/>
        </w:rPr>
        <w:t xml:space="preserve"> </w:t>
      </w:r>
      <w:r w:rsidRPr="00116D0B">
        <w:rPr>
          <w:rFonts w:ascii="Garamond" w:hAnsi="Garamond"/>
          <w:sz w:val="24"/>
          <w:szCs w:val="24"/>
        </w:rPr>
        <w:t>building</w:t>
      </w:r>
      <w:r w:rsidRPr="00116D0B">
        <w:rPr>
          <w:rFonts w:ascii="Garamond" w:hAnsi="Garamond"/>
          <w:spacing w:val="1"/>
          <w:sz w:val="24"/>
          <w:szCs w:val="24"/>
        </w:rPr>
        <w:t xml:space="preserve"> </w:t>
      </w:r>
      <w:r w:rsidRPr="00116D0B">
        <w:rPr>
          <w:rFonts w:ascii="Garamond" w:hAnsi="Garamond"/>
          <w:sz w:val="24"/>
          <w:szCs w:val="24"/>
        </w:rPr>
        <w:t>of</w:t>
      </w:r>
      <w:r w:rsidRPr="00116D0B">
        <w:rPr>
          <w:rFonts w:ascii="Garamond" w:hAnsi="Garamond"/>
          <w:spacing w:val="1"/>
          <w:sz w:val="24"/>
          <w:szCs w:val="24"/>
        </w:rPr>
        <w:t xml:space="preserve"> </w:t>
      </w:r>
      <w:r w:rsidRPr="00116D0B">
        <w:rPr>
          <w:rFonts w:ascii="Garamond" w:hAnsi="Garamond"/>
          <w:sz w:val="24"/>
          <w:szCs w:val="24"/>
        </w:rPr>
        <w:t>stakeholders</w:t>
      </w:r>
      <w:r w:rsidRPr="00116D0B">
        <w:rPr>
          <w:rFonts w:ascii="Garamond" w:hAnsi="Garamond"/>
          <w:spacing w:val="1"/>
          <w:sz w:val="24"/>
          <w:szCs w:val="24"/>
        </w:rPr>
        <w:t xml:space="preserve"> </w:t>
      </w:r>
      <w:r w:rsidRPr="00116D0B">
        <w:rPr>
          <w:rFonts w:ascii="Garamond" w:hAnsi="Garamond"/>
          <w:sz w:val="24"/>
          <w:szCs w:val="24"/>
        </w:rPr>
        <w:t>on</w:t>
      </w:r>
      <w:r w:rsidRPr="00116D0B">
        <w:rPr>
          <w:rFonts w:ascii="Garamond" w:hAnsi="Garamond"/>
          <w:spacing w:val="1"/>
          <w:sz w:val="24"/>
          <w:szCs w:val="24"/>
        </w:rPr>
        <w:t xml:space="preserve"> </w:t>
      </w:r>
      <w:r w:rsidRPr="00116D0B">
        <w:rPr>
          <w:rFonts w:ascii="Garamond" w:hAnsi="Garamond"/>
          <w:sz w:val="24"/>
          <w:szCs w:val="24"/>
        </w:rPr>
        <w:t>inclusive planning, implementation, and monitoring of community development</w:t>
      </w:r>
      <w:r w:rsidRPr="00116D0B">
        <w:rPr>
          <w:rFonts w:ascii="Garamond" w:hAnsi="Garamond"/>
          <w:spacing w:val="1"/>
          <w:sz w:val="24"/>
          <w:szCs w:val="24"/>
        </w:rPr>
        <w:t xml:space="preserve"> </w:t>
      </w:r>
      <w:r w:rsidRPr="00116D0B">
        <w:rPr>
          <w:rFonts w:ascii="Garamond" w:hAnsi="Garamond"/>
          <w:sz w:val="24"/>
          <w:szCs w:val="24"/>
        </w:rPr>
        <w:t>plans.</w:t>
      </w:r>
    </w:p>
    <w:p w14:paraId="28146970" w14:textId="77777777" w:rsidR="00516F86" w:rsidRPr="00116D0B" w:rsidRDefault="00705660" w:rsidP="00991B2C">
      <w:pPr>
        <w:pStyle w:val="Heading1"/>
        <w:numPr>
          <w:ilvl w:val="1"/>
          <w:numId w:val="1"/>
        </w:numPr>
        <w:tabs>
          <w:tab w:val="left" w:pos="360"/>
        </w:tabs>
        <w:spacing w:line="276" w:lineRule="auto"/>
        <w:ind w:left="450" w:hanging="440"/>
      </w:pPr>
      <w:bookmarkStart w:id="23" w:name="2.2_Purpose_of_the_Evaluation"/>
      <w:bookmarkStart w:id="24" w:name="_bookmark8"/>
      <w:bookmarkStart w:id="25" w:name="_Toc166775409"/>
      <w:bookmarkEnd w:id="23"/>
      <w:bookmarkEnd w:id="24"/>
      <w:r w:rsidRPr="00116D0B">
        <w:t>Purpose</w:t>
      </w:r>
      <w:r w:rsidRPr="00116D0B">
        <w:rPr>
          <w:spacing w:val="-3"/>
        </w:rPr>
        <w:t xml:space="preserve"> </w:t>
      </w:r>
      <w:r w:rsidRPr="00116D0B">
        <w:t>of</w:t>
      </w:r>
      <w:r w:rsidRPr="00116D0B">
        <w:rPr>
          <w:spacing w:val="-1"/>
        </w:rPr>
        <w:t xml:space="preserve"> </w:t>
      </w:r>
      <w:r w:rsidRPr="00116D0B">
        <w:t>the</w:t>
      </w:r>
      <w:r w:rsidRPr="00116D0B">
        <w:rPr>
          <w:spacing w:val="-3"/>
        </w:rPr>
        <w:t xml:space="preserve"> </w:t>
      </w:r>
      <w:r w:rsidRPr="00116D0B">
        <w:t>Evaluation</w:t>
      </w:r>
      <w:bookmarkEnd w:id="25"/>
    </w:p>
    <w:p w14:paraId="321DC5E1" w14:textId="77777777" w:rsidR="00516F86" w:rsidRPr="00116D0B" w:rsidRDefault="00705660" w:rsidP="00C3723C">
      <w:pPr>
        <w:pStyle w:val="BodyText"/>
        <w:spacing w:before="240" w:after="240" w:line="276" w:lineRule="auto"/>
        <w:ind w:right="217"/>
        <w:jc w:val="both"/>
        <w:rPr>
          <w:rFonts w:ascii="Garamond" w:hAnsi="Garamond"/>
        </w:rPr>
      </w:pPr>
      <w:r w:rsidRPr="00116D0B">
        <w:rPr>
          <w:rFonts w:ascii="Garamond" w:hAnsi="Garamond"/>
        </w:rPr>
        <w:t>The relevance of this evaluation is premised on the evaluation of the project intervention</w:t>
      </w:r>
      <w:r w:rsidRPr="00116D0B">
        <w:rPr>
          <w:rFonts w:ascii="Garamond" w:hAnsi="Garamond"/>
          <w:spacing w:val="-55"/>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achieve</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set</w:t>
      </w:r>
      <w:r w:rsidRPr="00116D0B">
        <w:rPr>
          <w:rFonts w:ascii="Garamond" w:hAnsi="Garamond"/>
          <w:spacing w:val="1"/>
        </w:rPr>
        <w:t xml:space="preserve"> </w:t>
      </w:r>
      <w:r w:rsidRPr="00116D0B">
        <w:rPr>
          <w:rFonts w:ascii="Garamond" w:hAnsi="Garamond"/>
        </w:rPr>
        <w:t>goals</w:t>
      </w:r>
      <w:r w:rsidRPr="00116D0B">
        <w:rPr>
          <w:rFonts w:ascii="Garamond" w:hAnsi="Garamond"/>
          <w:spacing w:val="1"/>
        </w:rPr>
        <w:t xml:space="preserve"> </w:t>
      </w:r>
      <w:r w:rsidRPr="00116D0B">
        <w:rPr>
          <w:rFonts w:ascii="Garamond" w:hAnsi="Garamond"/>
        </w:rPr>
        <w:t>of</w:t>
      </w:r>
      <w:r w:rsidRPr="00116D0B">
        <w:rPr>
          <w:rFonts w:ascii="Garamond" w:hAnsi="Garamond"/>
          <w:spacing w:val="1"/>
        </w:rPr>
        <w:t xml:space="preserve"> </w:t>
      </w:r>
      <w:r w:rsidRPr="00116D0B">
        <w:rPr>
          <w:rFonts w:ascii="Garamond" w:hAnsi="Garamond"/>
        </w:rPr>
        <w:t>strengthening</w:t>
      </w:r>
      <w:r w:rsidRPr="00116D0B">
        <w:rPr>
          <w:rFonts w:ascii="Garamond" w:hAnsi="Garamond"/>
          <w:spacing w:val="1"/>
        </w:rPr>
        <w:t xml:space="preserve"> </w:t>
      </w:r>
      <w:r w:rsidRPr="00116D0B">
        <w:rPr>
          <w:rFonts w:ascii="Garamond" w:hAnsi="Garamond"/>
        </w:rPr>
        <w:t>social</w:t>
      </w:r>
      <w:r w:rsidRPr="00116D0B">
        <w:rPr>
          <w:rFonts w:ascii="Garamond" w:hAnsi="Garamond"/>
          <w:spacing w:val="1"/>
        </w:rPr>
        <w:t xml:space="preserve"> </w:t>
      </w:r>
      <w:r w:rsidRPr="00116D0B">
        <w:rPr>
          <w:rFonts w:ascii="Garamond" w:hAnsi="Garamond"/>
        </w:rPr>
        <w:t>cohesion</w:t>
      </w:r>
      <w:r w:rsidRPr="00116D0B">
        <w:rPr>
          <w:rFonts w:ascii="Garamond" w:hAnsi="Garamond"/>
          <w:spacing w:val="1"/>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advancing</w:t>
      </w:r>
      <w:r w:rsidRPr="00116D0B">
        <w:rPr>
          <w:rFonts w:ascii="Garamond" w:hAnsi="Garamond"/>
          <w:spacing w:val="1"/>
        </w:rPr>
        <w:t xml:space="preserve"> </w:t>
      </w:r>
      <w:r w:rsidRPr="00116D0B">
        <w:rPr>
          <w:rFonts w:ascii="Garamond" w:hAnsi="Garamond"/>
        </w:rPr>
        <w:t>inclusive</w:t>
      </w:r>
      <w:r w:rsidRPr="00116D0B">
        <w:rPr>
          <w:rFonts w:ascii="Garamond" w:hAnsi="Garamond"/>
          <w:spacing w:val="1"/>
        </w:rPr>
        <w:t xml:space="preserve"> </w:t>
      </w:r>
      <w:r w:rsidRPr="00116D0B">
        <w:rPr>
          <w:rFonts w:ascii="Garamond" w:hAnsi="Garamond"/>
        </w:rPr>
        <w:t>community development planning at the grassroots level with the adoption of gender-</w:t>
      </w:r>
      <w:r w:rsidRPr="00116D0B">
        <w:rPr>
          <w:rFonts w:ascii="Garamond" w:hAnsi="Garamond"/>
          <w:spacing w:val="1"/>
        </w:rPr>
        <w:t xml:space="preserve"> </w:t>
      </w:r>
      <w:r w:rsidRPr="00116D0B">
        <w:rPr>
          <w:rFonts w:ascii="Garamond" w:hAnsi="Garamond"/>
        </w:rPr>
        <w:t>responsive</w:t>
      </w:r>
      <w:r w:rsidRPr="00116D0B">
        <w:rPr>
          <w:rFonts w:ascii="Garamond" w:hAnsi="Garamond"/>
          <w:spacing w:val="1"/>
        </w:rPr>
        <w:t xml:space="preserve"> </w:t>
      </w:r>
      <w:r w:rsidRPr="00116D0B">
        <w:rPr>
          <w:rFonts w:ascii="Garamond" w:hAnsi="Garamond"/>
        </w:rPr>
        <w:t>approaches.</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overall</w:t>
      </w:r>
      <w:r w:rsidRPr="00116D0B">
        <w:rPr>
          <w:rFonts w:ascii="Garamond" w:hAnsi="Garamond"/>
          <w:spacing w:val="1"/>
        </w:rPr>
        <w:t xml:space="preserve"> </w:t>
      </w:r>
      <w:r w:rsidRPr="00116D0B">
        <w:rPr>
          <w:rFonts w:ascii="Garamond" w:hAnsi="Garamond"/>
        </w:rPr>
        <w:t>objective</w:t>
      </w:r>
      <w:r w:rsidRPr="00116D0B">
        <w:rPr>
          <w:rFonts w:ascii="Garamond" w:hAnsi="Garamond"/>
          <w:spacing w:val="1"/>
        </w:rPr>
        <w:t xml:space="preserve"> </w:t>
      </w:r>
      <w:r w:rsidRPr="00116D0B">
        <w:rPr>
          <w:rFonts w:ascii="Garamond" w:hAnsi="Garamond"/>
        </w:rPr>
        <w:t>of</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assessment</w:t>
      </w:r>
      <w:r w:rsidRPr="00116D0B">
        <w:rPr>
          <w:rFonts w:ascii="Garamond" w:hAnsi="Garamond"/>
          <w:spacing w:val="1"/>
        </w:rPr>
        <w:t xml:space="preserve"> </w:t>
      </w:r>
      <w:r w:rsidRPr="00116D0B">
        <w:rPr>
          <w:rFonts w:ascii="Garamond" w:hAnsi="Garamond"/>
        </w:rPr>
        <w:t>is</w:t>
      </w:r>
      <w:r w:rsidRPr="00116D0B">
        <w:rPr>
          <w:rFonts w:ascii="Garamond" w:hAnsi="Garamond"/>
          <w:spacing w:val="1"/>
        </w:rPr>
        <w:t xml:space="preserve"> </w:t>
      </w:r>
      <w:r w:rsidRPr="00116D0B">
        <w:rPr>
          <w:rFonts w:ascii="Garamond" w:hAnsi="Garamond"/>
        </w:rPr>
        <w:t>to</w:t>
      </w:r>
      <w:r w:rsidRPr="00116D0B">
        <w:rPr>
          <w:rFonts w:ascii="Garamond" w:hAnsi="Garamond"/>
          <w:spacing w:val="1"/>
        </w:rPr>
        <w:t xml:space="preserve"> </w:t>
      </w:r>
      <w:r w:rsidRPr="00116D0B">
        <w:rPr>
          <w:rFonts w:ascii="Garamond" w:hAnsi="Garamond"/>
        </w:rPr>
        <w:t>measure</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outcome and effectiveness of the intervention in achieving the set goals to enhance</w:t>
      </w:r>
      <w:r w:rsidRPr="00116D0B">
        <w:rPr>
          <w:rFonts w:ascii="Garamond" w:hAnsi="Garamond"/>
          <w:spacing w:val="1"/>
        </w:rPr>
        <w:t xml:space="preserve"> </w:t>
      </w:r>
      <w:r w:rsidRPr="00116D0B">
        <w:rPr>
          <w:rFonts w:ascii="Garamond" w:hAnsi="Garamond"/>
        </w:rPr>
        <w:t>strengthened social cohesion and engendering inclusive and participatory development</w:t>
      </w:r>
      <w:r w:rsidRPr="00116D0B">
        <w:rPr>
          <w:rFonts w:ascii="Garamond" w:hAnsi="Garamond"/>
          <w:spacing w:val="1"/>
        </w:rPr>
        <w:t xml:space="preserve"> </w:t>
      </w:r>
      <w:r w:rsidRPr="00116D0B">
        <w:rPr>
          <w:rFonts w:ascii="Garamond" w:hAnsi="Garamond"/>
        </w:rPr>
        <w:t>planning</w:t>
      </w:r>
      <w:r w:rsidRPr="00116D0B">
        <w:rPr>
          <w:rFonts w:ascii="Garamond" w:hAnsi="Garamond"/>
          <w:spacing w:val="-2"/>
        </w:rPr>
        <w:t xml:space="preserve"> </w:t>
      </w:r>
      <w:r w:rsidRPr="00116D0B">
        <w:rPr>
          <w:rFonts w:ascii="Garamond" w:hAnsi="Garamond"/>
        </w:rPr>
        <w:t>in</w:t>
      </w:r>
      <w:r w:rsidRPr="00116D0B">
        <w:rPr>
          <w:rFonts w:ascii="Garamond" w:hAnsi="Garamond"/>
          <w:spacing w:val="1"/>
        </w:rPr>
        <w:t xml:space="preserve"> </w:t>
      </w:r>
      <w:r w:rsidRPr="00116D0B">
        <w:rPr>
          <w:rFonts w:ascii="Garamond" w:hAnsi="Garamond"/>
        </w:rPr>
        <w:t>the</w:t>
      </w:r>
      <w:r w:rsidRPr="00116D0B">
        <w:rPr>
          <w:rFonts w:ascii="Garamond" w:hAnsi="Garamond"/>
          <w:spacing w:val="-2"/>
        </w:rPr>
        <w:t xml:space="preserve"> </w:t>
      </w:r>
      <w:r w:rsidRPr="00116D0B">
        <w:rPr>
          <w:rFonts w:ascii="Garamond" w:hAnsi="Garamond"/>
        </w:rPr>
        <w:t>Michika Local Government</w:t>
      </w:r>
      <w:r w:rsidRPr="00116D0B">
        <w:rPr>
          <w:rFonts w:ascii="Garamond" w:hAnsi="Garamond"/>
          <w:spacing w:val="3"/>
        </w:rPr>
        <w:t xml:space="preserve"> </w:t>
      </w:r>
      <w:r w:rsidRPr="00116D0B">
        <w:rPr>
          <w:rFonts w:ascii="Garamond" w:hAnsi="Garamond"/>
        </w:rPr>
        <w:t>Area.</w:t>
      </w:r>
    </w:p>
    <w:p w14:paraId="3B3D1A90" w14:textId="77777777" w:rsidR="00516F86" w:rsidRPr="00116D0B" w:rsidRDefault="00705660" w:rsidP="00991B2C">
      <w:pPr>
        <w:pStyle w:val="Heading1"/>
        <w:numPr>
          <w:ilvl w:val="1"/>
          <w:numId w:val="1"/>
        </w:numPr>
        <w:spacing w:line="276" w:lineRule="auto"/>
        <w:ind w:left="450" w:hanging="440"/>
      </w:pPr>
      <w:bookmarkStart w:id="26" w:name="2.3_Evaluation_Objectives"/>
      <w:bookmarkStart w:id="27" w:name="_bookmark9"/>
      <w:bookmarkStart w:id="28" w:name="_Toc166775410"/>
      <w:bookmarkEnd w:id="26"/>
      <w:bookmarkEnd w:id="27"/>
      <w:r w:rsidRPr="00116D0B">
        <w:t>Evaluation</w:t>
      </w:r>
      <w:r w:rsidRPr="00116D0B">
        <w:rPr>
          <w:spacing w:val="-8"/>
        </w:rPr>
        <w:t xml:space="preserve"> </w:t>
      </w:r>
      <w:r w:rsidRPr="00116D0B">
        <w:t>Objectives</w:t>
      </w:r>
      <w:bookmarkEnd w:id="28"/>
    </w:p>
    <w:p w14:paraId="3230C747" w14:textId="77777777" w:rsidR="00516F86" w:rsidRPr="00116D0B" w:rsidRDefault="00705660" w:rsidP="00C3723C">
      <w:pPr>
        <w:pStyle w:val="BodyText"/>
        <w:spacing w:before="240" w:after="240" w:line="276" w:lineRule="auto"/>
        <w:ind w:right="218"/>
        <w:jc w:val="both"/>
        <w:rPr>
          <w:rFonts w:ascii="Garamond" w:hAnsi="Garamond"/>
        </w:rPr>
      </w:pPr>
      <w:r w:rsidRPr="00116D0B">
        <w:rPr>
          <w:rFonts w:ascii="Garamond" w:hAnsi="Garamond"/>
        </w:rPr>
        <w:t>The evaluation will assess project performance against the evaluation criteria: project</w:t>
      </w:r>
      <w:r w:rsidRPr="00116D0B">
        <w:rPr>
          <w:rFonts w:ascii="Garamond" w:hAnsi="Garamond"/>
          <w:spacing w:val="1"/>
        </w:rPr>
        <w:t xml:space="preserve"> </w:t>
      </w:r>
      <w:r w:rsidRPr="00116D0B">
        <w:rPr>
          <w:rFonts w:ascii="Garamond" w:hAnsi="Garamond"/>
        </w:rPr>
        <w:t>design relevance, effectiveness, efficiency, impact, sustainability, M&amp;E systems, other</w:t>
      </w:r>
      <w:r w:rsidRPr="00116D0B">
        <w:rPr>
          <w:rFonts w:ascii="Garamond" w:hAnsi="Garamond"/>
          <w:spacing w:val="1"/>
        </w:rPr>
        <w:t xml:space="preserve"> </w:t>
      </w:r>
      <w:r w:rsidRPr="00116D0B">
        <w:rPr>
          <w:rFonts w:ascii="Garamond" w:hAnsi="Garamond"/>
        </w:rPr>
        <w:t>cross-cutting</w:t>
      </w:r>
      <w:r w:rsidRPr="00116D0B">
        <w:rPr>
          <w:rFonts w:ascii="Garamond" w:hAnsi="Garamond"/>
          <w:spacing w:val="-4"/>
        </w:rPr>
        <w:t xml:space="preserve"> </w:t>
      </w:r>
      <w:r w:rsidRPr="00116D0B">
        <w:rPr>
          <w:rFonts w:ascii="Garamond" w:hAnsi="Garamond"/>
        </w:rPr>
        <w:t>issues,</w:t>
      </w:r>
      <w:r w:rsidRPr="00116D0B">
        <w:rPr>
          <w:rFonts w:ascii="Garamond" w:hAnsi="Garamond"/>
          <w:spacing w:val="2"/>
        </w:rPr>
        <w:t xml:space="preserve"> </w:t>
      </w:r>
      <w:r w:rsidRPr="00116D0B">
        <w:rPr>
          <w:rFonts w:ascii="Garamond" w:hAnsi="Garamond"/>
        </w:rPr>
        <w:t>etc.</w:t>
      </w:r>
      <w:r w:rsidRPr="00116D0B">
        <w:rPr>
          <w:rFonts w:ascii="Garamond" w:hAnsi="Garamond"/>
          <w:spacing w:val="2"/>
        </w:rPr>
        <w:t xml:space="preserve"> </w:t>
      </w:r>
      <w:r w:rsidRPr="00116D0B">
        <w:rPr>
          <w:rFonts w:ascii="Garamond" w:hAnsi="Garamond"/>
        </w:rPr>
        <w:t>The</w:t>
      </w:r>
      <w:r w:rsidRPr="00116D0B">
        <w:rPr>
          <w:rFonts w:ascii="Garamond" w:hAnsi="Garamond"/>
          <w:spacing w:val="-2"/>
        </w:rPr>
        <w:t xml:space="preserve"> </w:t>
      </w:r>
      <w:r w:rsidRPr="00116D0B">
        <w:rPr>
          <w:rFonts w:ascii="Garamond" w:hAnsi="Garamond"/>
        </w:rPr>
        <w:t>specific objectives</w:t>
      </w:r>
      <w:r w:rsidRPr="00116D0B">
        <w:rPr>
          <w:rFonts w:ascii="Garamond" w:hAnsi="Garamond"/>
          <w:spacing w:val="1"/>
        </w:rPr>
        <w:t xml:space="preserve"> </w:t>
      </w:r>
      <w:r w:rsidRPr="00116D0B">
        <w:rPr>
          <w:rFonts w:ascii="Garamond" w:hAnsi="Garamond"/>
        </w:rPr>
        <w:t>are:</w:t>
      </w:r>
    </w:p>
    <w:p w14:paraId="1459B4C7" w14:textId="3401C1BF" w:rsidR="00516F86" w:rsidRPr="00116D0B" w:rsidRDefault="003A1DC2" w:rsidP="00991B2C">
      <w:pPr>
        <w:pStyle w:val="ListParagraph"/>
        <w:numPr>
          <w:ilvl w:val="2"/>
          <w:numId w:val="1"/>
        </w:numPr>
        <w:tabs>
          <w:tab w:val="left" w:pos="940"/>
        </w:tabs>
        <w:spacing w:before="240" w:after="240" w:line="276" w:lineRule="auto"/>
        <w:ind w:right="220"/>
        <w:jc w:val="both"/>
        <w:rPr>
          <w:rFonts w:ascii="Garamond" w:hAnsi="Garamond"/>
          <w:sz w:val="24"/>
          <w:szCs w:val="24"/>
        </w:rPr>
      </w:pPr>
      <w:r w:rsidRPr="00116D0B">
        <w:rPr>
          <w:rFonts w:ascii="Garamond" w:hAnsi="Garamond"/>
          <w:sz w:val="24"/>
          <w:szCs w:val="24"/>
        </w:rPr>
        <w:t>Analyzed</w:t>
      </w:r>
      <w:r w:rsidR="00705660" w:rsidRPr="00116D0B">
        <w:rPr>
          <w:rFonts w:ascii="Garamond" w:hAnsi="Garamond"/>
          <w:spacing w:val="1"/>
          <w:sz w:val="24"/>
          <w:szCs w:val="24"/>
        </w:rPr>
        <w:t xml:space="preserve"> </w:t>
      </w:r>
      <w:r w:rsidR="00705660" w:rsidRPr="00116D0B">
        <w:rPr>
          <w:rFonts w:ascii="Garamond" w:hAnsi="Garamond"/>
          <w:sz w:val="24"/>
          <w:szCs w:val="24"/>
        </w:rPr>
        <w:t>social</w:t>
      </w:r>
      <w:r w:rsidR="00705660" w:rsidRPr="00116D0B">
        <w:rPr>
          <w:rFonts w:ascii="Garamond" w:hAnsi="Garamond"/>
          <w:spacing w:val="1"/>
          <w:sz w:val="24"/>
          <w:szCs w:val="24"/>
        </w:rPr>
        <w:t xml:space="preserve"> </w:t>
      </w:r>
      <w:r w:rsidR="00705660" w:rsidRPr="00116D0B">
        <w:rPr>
          <w:rFonts w:ascii="Garamond" w:hAnsi="Garamond"/>
          <w:sz w:val="24"/>
          <w:szCs w:val="24"/>
        </w:rPr>
        <w:t>interaction</w:t>
      </w:r>
      <w:r w:rsidR="00705660" w:rsidRPr="00116D0B">
        <w:rPr>
          <w:rFonts w:ascii="Garamond" w:hAnsi="Garamond"/>
          <w:spacing w:val="1"/>
          <w:sz w:val="24"/>
          <w:szCs w:val="24"/>
        </w:rPr>
        <w:t xml:space="preserve"> </w:t>
      </w:r>
      <w:r w:rsidR="00705660" w:rsidRPr="00116D0B">
        <w:rPr>
          <w:rFonts w:ascii="Garamond" w:hAnsi="Garamond"/>
          <w:sz w:val="24"/>
          <w:szCs w:val="24"/>
        </w:rPr>
        <w:t>and</w:t>
      </w:r>
      <w:r w:rsidR="00705660" w:rsidRPr="00116D0B">
        <w:rPr>
          <w:rFonts w:ascii="Garamond" w:hAnsi="Garamond"/>
          <w:spacing w:val="1"/>
          <w:sz w:val="24"/>
          <w:szCs w:val="24"/>
        </w:rPr>
        <w:t xml:space="preserve"> </w:t>
      </w:r>
      <w:r w:rsidR="00705660" w:rsidRPr="00116D0B">
        <w:rPr>
          <w:rFonts w:ascii="Garamond" w:hAnsi="Garamond"/>
          <w:sz w:val="24"/>
          <w:szCs w:val="24"/>
        </w:rPr>
        <w:t>power</w:t>
      </w:r>
      <w:r w:rsidR="00705660" w:rsidRPr="00116D0B">
        <w:rPr>
          <w:rFonts w:ascii="Garamond" w:hAnsi="Garamond"/>
          <w:spacing w:val="1"/>
          <w:sz w:val="24"/>
          <w:szCs w:val="24"/>
        </w:rPr>
        <w:t xml:space="preserve"> </w:t>
      </w:r>
      <w:r w:rsidR="00705660" w:rsidRPr="00116D0B">
        <w:rPr>
          <w:rFonts w:ascii="Garamond" w:hAnsi="Garamond"/>
          <w:sz w:val="24"/>
          <w:szCs w:val="24"/>
        </w:rPr>
        <w:t>dynamics</w:t>
      </w:r>
      <w:r w:rsidR="00705660" w:rsidRPr="00116D0B">
        <w:rPr>
          <w:rFonts w:ascii="Garamond" w:hAnsi="Garamond"/>
          <w:spacing w:val="1"/>
          <w:sz w:val="24"/>
          <w:szCs w:val="24"/>
        </w:rPr>
        <w:t xml:space="preserve"> </w:t>
      </w:r>
      <w:r w:rsidR="00705660" w:rsidRPr="00116D0B">
        <w:rPr>
          <w:rFonts w:ascii="Garamond" w:hAnsi="Garamond"/>
          <w:sz w:val="24"/>
          <w:szCs w:val="24"/>
        </w:rPr>
        <w:t>in</w:t>
      </w:r>
      <w:r w:rsidR="00705660" w:rsidRPr="00116D0B">
        <w:rPr>
          <w:rFonts w:ascii="Garamond" w:hAnsi="Garamond"/>
          <w:spacing w:val="1"/>
          <w:sz w:val="24"/>
          <w:szCs w:val="24"/>
        </w:rPr>
        <w:t xml:space="preserve"> </w:t>
      </w:r>
      <w:r w:rsidR="00705660" w:rsidRPr="00116D0B">
        <w:rPr>
          <w:rFonts w:ascii="Garamond" w:hAnsi="Garamond"/>
          <w:sz w:val="24"/>
          <w:szCs w:val="24"/>
        </w:rPr>
        <w:t>relationships</w:t>
      </w:r>
      <w:r w:rsidR="00705660" w:rsidRPr="00116D0B">
        <w:rPr>
          <w:rFonts w:ascii="Garamond" w:hAnsi="Garamond"/>
          <w:spacing w:val="1"/>
          <w:sz w:val="24"/>
          <w:szCs w:val="24"/>
        </w:rPr>
        <w:t xml:space="preserve"> </w:t>
      </w:r>
      <w:r w:rsidR="00705660" w:rsidRPr="00116D0B">
        <w:rPr>
          <w:rFonts w:ascii="Garamond" w:hAnsi="Garamond"/>
          <w:sz w:val="24"/>
          <w:szCs w:val="24"/>
        </w:rPr>
        <w:t>among</w:t>
      </w:r>
      <w:r w:rsidR="00705660" w:rsidRPr="00116D0B">
        <w:rPr>
          <w:rFonts w:ascii="Garamond" w:hAnsi="Garamond"/>
          <w:spacing w:val="1"/>
          <w:sz w:val="24"/>
          <w:szCs w:val="24"/>
        </w:rPr>
        <w:t xml:space="preserve"> </w:t>
      </w:r>
      <w:r w:rsidR="00705660" w:rsidRPr="00116D0B">
        <w:rPr>
          <w:rFonts w:ascii="Garamond" w:hAnsi="Garamond"/>
          <w:sz w:val="24"/>
          <w:szCs w:val="24"/>
        </w:rPr>
        <w:t>traditional/community/nongovernment and government structures, institutions,</w:t>
      </w:r>
      <w:r w:rsidR="00705660" w:rsidRPr="00116D0B">
        <w:rPr>
          <w:rFonts w:ascii="Garamond" w:hAnsi="Garamond"/>
          <w:spacing w:val="-55"/>
          <w:sz w:val="24"/>
          <w:szCs w:val="24"/>
        </w:rPr>
        <w:t xml:space="preserve"> </w:t>
      </w:r>
      <w:r w:rsidR="00705660" w:rsidRPr="00116D0B">
        <w:rPr>
          <w:rFonts w:ascii="Garamond" w:hAnsi="Garamond"/>
          <w:sz w:val="24"/>
          <w:szCs w:val="24"/>
        </w:rPr>
        <w:t>and post-project intervention</w:t>
      </w:r>
      <w:r w:rsidR="00705660" w:rsidRPr="00116D0B">
        <w:rPr>
          <w:rFonts w:ascii="Garamond" w:hAnsi="Garamond"/>
          <w:spacing w:val="1"/>
          <w:sz w:val="24"/>
          <w:szCs w:val="24"/>
        </w:rPr>
        <w:t xml:space="preserve"> </w:t>
      </w:r>
      <w:r w:rsidR="00705660" w:rsidRPr="00116D0B">
        <w:rPr>
          <w:rFonts w:ascii="Garamond" w:hAnsi="Garamond"/>
          <w:sz w:val="24"/>
          <w:szCs w:val="24"/>
        </w:rPr>
        <w:t>actors.</w:t>
      </w:r>
    </w:p>
    <w:p w14:paraId="507902CB" w14:textId="7983DB7E" w:rsidR="00516F86" w:rsidRPr="00116D0B" w:rsidRDefault="003A1DC2" w:rsidP="00991B2C">
      <w:pPr>
        <w:pStyle w:val="ListParagraph"/>
        <w:numPr>
          <w:ilvl w:val="2"/>
          <w:numId w:val="1"/>
        </w:numPr>
        <w:tabs>
          <w:tab w:val="left" w:pos="939"/>
          <w:tab w:val="left" w:pos="940"/>
        </w:tabs>
        <w:spacing w:before="240" w:after="240" w:line="276" w:lineRule="auto"/>
        <w:ind w:right="219"/>
        <w:jc w:val="both"/>
        <w:rPr>
          <w:rFonts w:ascii="Garamond" w:hAnsi="Garamond"/>
          <w:sz w:val="24"/>
          <w:szCs w:val="24"/>
        </w:rPr>
      </w:pPr>
      <w:r w:rsidRPr="00116D0B">
        <w:rPr>
          <w:rFonts w:ascii="Garamond" w:hAnsi="Garamond"/>
          <w:sz w:val="24"/>
          <w:szCs w:val="24"/>
        </w:rPr>
        <w:t xml:space="preserve">Assessed the </w:t>
      </w:r>
      <w:r w:rsidR="00705660" w:rsidRPr="00116D0B">
        <w:rPr>
          <w:rFonts w:ascii="Garamond" w:hAnsi="Garamond"/>
          <w:sz w:val="24"/>
          <w:szCs w:val="24"/>
        </w:rPr>
        <w:t>developmental</w:t>
      </w:r>
      <w:r w:rsidR="00705660" w:rsidRPr="00116D0B">
        <w:rPr>
          <w:rFonts w:ascii="Garamond" w:hAnsi="Garamond"/>
          <w:spacing w:val="41"/>
          <w:sz w:val="24"/>
          <w:szCs w:val="24"/>
        </w:rPr>
        <w:t xml:space="preserve"> </w:t>
      </w:r>
      <w:r w:rsidR="00705660" w:rsidRPr="00116D0B">
        <w:rPr>
          <w:rFonts w:ascii="Garamond" w:hAnsi="Garamond"/>
          <w:sz w:val="24"/>
          <w:szCs w:val="24"/>
        </w:rPr>
        <w:t>challenges</w:t>
      </w:r>
      <w:r w:rsidR="00705660" w:rsidRPr="00116D0B">
        <w:rPr>
          <w:rFonts w:ascii="Garamond" w:hAnsi="Garamond"/>
          <w:spacing w:val="38"/>
          <w:sz w:val="24"/>
          <w:szCs w:val="24"/>
        </w:rPr>
        <w:t xml:space="preserve"> </w:t>
      </w:r>
      <w:r w:rsidR="00705660" w:rsidRPr="00116D0B">
        <w:rPr>
          <w:rFonts w:ascii="Garamond" w:hAnsi="Garamond"/>
          <w:sz w:val="24"/>
          <w:szCs w:val="24"/>
        </w:rPr>
        <w:t>and</w:t>
      </w:r>
      <w:r w:rsidR="00705660" w:rsidRPr="00116D0B">
        <w:rPr>
          <w:rFonts w:ascii="Garamond" w:hAnsi="Garamond"/>
          <w:spacing w:val="41"/>
          <w:sz w:val="24"/>
          <w:szCs w:val="24"/>
        </w:rPr>
        <w:t xml:space="preserve"> </w:t>
      </w:r>
      <w:r w:rsidR="00705660" w:rsidRPr="00116D0B">
        <w:rPr>
          <w:rFonts w:ascii="Garamond" w:hAnsi="Garamond"/>
          <w:sz w:val="24"/>
          <w:szCs w:val="24"/>
        </w:rPr>
        <w:t>opportunities</w:t>
      </w:r>
      <w:r w:rsidR="00705660" w:rsidRPr="00116D0B">
        <w:rPr>
          <w:rFonts w:ascii="Garamond" w:hAnsi="Garamond"/>
          <w:spacing w:val="38"/>
          <w:sz w:val="24"/>
          <w:szCs w:val="24"/>
        </w:rPr>
        <w:t xml:space="preserve"> </w:t>
      </w:r>
      <w:r w:rsidR="00705660" w:rsidRPr="00116D0B">
        <w:rPr>
          <w:rFonts w:ascii="Garamond" w:hAnsi="Garamond"/>
          <w:sz w:val="24"/>
          <w:szCs w:val="24"/>
        </w:rPr>
        <w:t>and</w:t>
      </w:r>
      <w:r w:rsidR="00705660" w:rsidRPr="00116D0B">
        <w:rPr>
          <w:rFonts w:ascii="Garamond" w:hAnsi="Garamond"/>
          <w:spacing w:val="41"/>
          <w:sz w:val="24"/>
          <w:szCs w:val="24"/>
        </w:rPr>
        <w:t xml:space="preserve"> </w:t>
      </w:r>
      <w:r w:rsidR="00705660" w:rsidRPr="00116D0B">
        <w:rPr>
          <w:rFonts w:ascii="Garamond" w:hAnsi="Garamond"/>
          <w:sz w:val="24"/>
          <w:szCs w:val="24"/>
        </w:rPr>
        <w:t>the</w:t>
      </w:r>
      <w:r w:rsidR="00705660" w:rsidRPr="00116D0B">
        <w:rPr>
          <w:rFonts w:ascii="Garamond" w:hAnsi="Garamond"/>
          <w:spacing w:val="39"/>
          <w:sz w:val="24"/>
          <w:szCs w:val="24"/>
        </w:rPr>
        <w:t xml:space="preserve"> </w:t>
      </w:r>
      <w:r w:rsidR="00705660" w:rsidRPr="00116D0B">
        <w:rPr>
          <w:rFonts w:ascii="Garamond" w:hAnsi="Garamond"/>
          <w:sz w:val="24"/>
          <w:szCs w:val="24"/>
        </w:rPr>
        <w:t>effectiveness</w:t>
      </w:r>
      <w:r w:rsidR="00705660" w:rsidRPr="00116D0B">
        <w:rPr>
          <w:rFonts w:ascii="Garamond" w:hAnsi="Garamond"/>
          <w:spacing w:val="38"/>
          <w:sz w:val="24"/>
          <w:szCs w:val="24"/>
        </w:rPr>
        <w:t xml:space="preserve"> </w:t>
      </w:r>
      <w:r w:rsidR="00106849" w:rsidRPr="00116D0B">
        <w:rPr>
          <w:rFonts w:ascii="Garamond" w:hAnsi="Garamond"/>
          <w:sz w:val="24"/>
          <w:szCs w:val="24"/>
        </w:rPr>
        <w:t>of the</w:t>
      </w:r>
      <w:r w:rsidR="00705660" w:rsidRPr="00116D0B">
        <w:rPr>
          <w:rFonts w:ascii="Garamond" w:hAnsi="Garamond"/>
          <w:spacing w:val="2"/>
          <w:sz w:val="24"/>
          <w:szCs w:val="24"/>
        </w:rPr>
        <w:t xml:space="preserve"> </w:t>
      </w:r>
      <w:r w:rsidR="00705660" w:rsidRPr="00116D0B">
        <w:rPr>
          <w:rFonts w:ascii="Garamond" w:hAnsi="Garamond"/>
          <w:sz w:val="24"/>
          <w:szCs w:val="24"/>
        </w:rPr>
        <w:t>initiatives</w:t>
      </w:r>
      <w:r w:rsidR="00705660" w:rsidRPr="00116D0B">
        <w:rPr>
          <w:rFonts w:ascii="Garamond" w:hAnsi="Garamond"/>
          <w:spacing w:val="-1"/>
          <w:sz w:val="24"/>
          <w:szCs w:val="24"/>
        </w:rPr>
        <w:t xml:space="preserve"> </w:t>
      </w:r>
      <w:r w:rsidR="00705660" w:rsidRPr="00116D0B">
        <w:rPr>
          <w:rFonts w:ascii="Garamond" w:hAnsi="Garamond"/>
          <w:sz w:val="24"/>
          <w:szCs w:val="24"/>
        </w:rPr>
        <w:t>in</w:t>
      </w:r>
      <w:r w:rsidR="00705660" w:rsidRPr="00116D0B">
        <w:rPr>
          <w:rFonts w:ascii="Garamond" w:hAnsi="Garamond"/>
          <w:spacing w:val="-2"/>
          <w:sz w:val="24"/>
          <w:szCs w:val="24"/>
        </w:rPr>
        <w:t xml:space="preserve"> </w:t>
      </w:r>
      <w:r w:rsidR="00705660" w:rsidRPr="00116D0B">
        <w:rPr>
          <w:rFonts w:ascii="Garamond" w:hAnsi="Garamond"/>
          <w:sz w:val="24"/>
          <w:szCs w:val="24"/>
        </w:rPr>
        <w:t>transforming</w:t>
      </w:r>
      <w:r w:rsidR="00705660" w:rsidRPr="00116D0B">
        <w:rPr>
          <w:rFonts w:ascii="Garamond" w:hAnsi="Garamond"/>
          <w:spacing w:val="-2"/>
          <w:sz w:val="24"/>
          <w:szCs w:val="24"/>
        </w:rPr>
        <w:t xml:space="preserve"> </w:t>
      </w:r>
      <w:r w:rsidR="00705660" w:rsidRPr="00116D0B">
        <w:rPr>
          <w:rFonts w:ascii="Garamond" w:hAnsi="Garamond"/>
          <w:sz w:val="24"/>
          <w:szCs w:val="24"/>
        </w:rPr>
        <w:t>community</w:t>
      </w:r>
      <w:r w:rsidR="00705660" w:rsidRPr="00116D0B">
        <w:rPr>
          <w:rFonts w:ascii="Garamond" w:hAnsi="Garamond"/>
          <w:spacing w:val="-3"/>
          <w:sz w:val="24"/>
          <w:szCs w:val="24"/>
        </w:rPr>
        <w:t xml:space="preserve"> </w:t>
      </w:r>
      <w:r w:rsidR="00705660" w:rsidRPr="00116D0B">
        <w:rPr>
          <w:rFonts w:ascii="Garamond" w:hAnsi="Garamond"/>
          <w:sz w:val="24"/>
          <w:szCs w:val="24"/>
        </w:rPr>
        <w:t>development</w:t>
      </w:r>
      <w:r w:rsidR="00705660" w:rsidRPr="00116D0B">
        <w:rPr>
          <w:rFonts w:ascii="Garamond" w:hAnsi="Garamond"/>
          <w:spacing w:val="2"/>
          <w:sz w:val="24"/>
          <w:szCs w:val="24"/>
        </w:rPr>
        <w:t xml:space="preserve"> </w:t>
      </w:r>
      <w:r w:rsidR="00705660" w:rsidRPr="00116D0B">
        <w:rPr>
          <w:rFonts w:ascii="Garamond" w:hAnsi="Garamond"/>
          <w:sz w:val="24"/>
          <w:szCs w:val="24"/>
        </w:rPr>
        <w:t>planning.</w:t>
      </w:r>
    </w:p>
    <w:p w14:paraId="4D6D110B" w14:textId="77777777" w:rsidR="00516F86" w:rsidRPr="00116D0B" w:rsidRDefault="00705660" w:rsidP="00991B2C">
      <w:pPr>
        <w:pStyle w:val="Heading1"/>
        <w:numPr>
          <w:ilvl w:val="1"/>
          <w:numId w:val="1"/>
        </w:numPr>
        <w:tabs>
          <w:tab w:val="left" w:pos="450"/>
        </w:tabs>
        <w:spacing w:line="276" w:lineRule="auto"/>
        <w:ind w:left="450"/>
      </w:pPr>
      <w:bookmarkStart w:id="29" w:name="3.0_Evaluation_Scope"/>
      <w:bookmarkStart w:id="30" w:name="_bookmark10"/>
      <w:bookmarkStart w:id="31" w:name="_Toc166775411"/>
      <w:bookmarkEnd w:id="29"/>
      <w:bookmarkEnd w:id="30"/>
      <w:r w:rsidRPr="00116D0B">
        <w:t>Evaluation</w:t>
      </w:r>
      <w:r w:rsidRPr="00116D0B">
        <w:rPr>
          <w:spacing w:val="-2"/>
        </w:rPr>
        <w:t xml:space="preserve"> </w:t>
      </w:r>
      <w:r w:rsidRPr="00116D0B">
        <w:t>Scope</w:t>
      </w:r>
      <w:bookmarkEnd w:id="31"/>
    </w:p>
    <w:p w14:paraId="321268C7" w14:textId="28AB6645" w:rsidR="00611E97" w:rsidRPr="00116D0B" w:rsidRDefault="00705660" w:rsidP="00C3723C">
      <w:pPr>
        <w:pStyle w:val="BodyText"/>
        <w:spacing w:before="240" w:after="240" w:line="276" w:lineRule="auto"/>
        <w:jc w:val="both"/>
        <w:rPr>
          <w:rFonts w:ascii="Garamond" w:hAnsi="Garamond"/>
        </w:rPr>
      </w:pPr>
      <w:r w:rsidRPr="00116D0B">
        <w:rPr>
          <w:rFonts w:ascii="Garamond" w:hAnsi="Garamond"/>
        </w:rPr>
        <w:t>The</w:t>
      </w:r>
      <w:r w:rsidRPr="00116D0B">
        <w:rPr>
          <w:rFonts w:ascii="Garamond" w:hAnsi="Garamond"/>
          <w:spacing w:val="-5"/>
        </w:rPr>
        <w:t xml:space="preserve"> </w:t>
      </w:r>
      <w:r w:rsidRPr="00116D0B">
        <w:rPr>
          <w:rFonts w:ascii="Garamond" w:hAnsi="Garamond"/>
        </w:rPr>
        <w:t>evaluation</w:t>
      </w:r>
      <w:r w:rsidRPr="00116D0B">
        <w:rPr>
          <w:rFonts w:ascii="Garamond" w:hAnsi="Garamond"/>
          <w:spacing w:val="-3"/>
        </w:rPr>
        <w:t xml:space="preserve"> </w:t>
      </w:r>
      <w:r w:rsidRPr="00116D0B">
        <w:rPr>
          <w:rFonts w:ascii="Garamond" w:hAnsi="Garamond"/>
        </w:rPr>
        <w:t>scope</w:t>
      </w:r>
      <w:r w:rsidRPr="00116D0B">
        <w:rPr>
          <w:rFonts w:ascii="Garamond" w:hAnsi="Garamond"/>
          <w:spacing w:val="-1"/>
        </w:rPr>
        <w:t xml:space="preserve"> </w:t>
      </w:r>
      <w:r w:rsidR="003A1DC2" w:rsidRPr="00116D0B">
        <w:rPr>
          <w:rFonts w:ascii="Garamond" w:hAnsi="Garamond"/>
        </w:rPr>
        <w:t>was</w:t>
      </w:r>
      <w:r w:rsidRPr="00116D0B">
        <w:rPr>
          <w:rFonts w:ascii="Garamond" w:hAnsi="Garamond"/>
          <w:spacing w:val="-1"/>
        </w:rPr>
        <w:t xml:space="preserve"> </w:t>
      </w:r>
      <w:r w:rsidRPr="00116D0B">
        <w:rPr>
          <w:rFonts w:ascii="Garamond" w:hAnsi="Garamond"/>
        </w:rPr>
        <w:t>divided</w:t>
      </w:r>
      <w:r w:rsidRPr="00116D0B">
        <w:rPr>
          <w:rFonts w:ascii="Garamond" w:hAnsi="Garamond"/>
          <w:spacing w:val="-2"/>
        </w:rPr>
        <w:t xml:space="preserve"> </w:t>
      </w:r>
      <w:r w:rsidRPr="00116D0B">
        <w:rPr>
          <w:rFonts w:ascii="Garamond" w:hAnsi="Garamond"/>
        </w:rPr>
        <w:t>into</w:t>
      </w:r>
      <w:r w:rsidRPr="00116D0B">
        <w:rPr>
          <w:rFonts w:ascii="Garamond" w:hAnsi="Garamond"/>
          <w:spacing w:val="-3"/>
        </w:rPr>
        <w:t xml:space="preserve"> </w:t>
      </w:r>
      <w:r w:rsidRPr="00116D0B">
        <w:rPr>
          <w:rFonts w:ascii="Garamond" w:hAnsi="Garamond"/>
        </w:rPr>
        <w:t>two;</w:t>
      </w:r>
      <w:r w:rsidRPr="00116D0B">
        <w:rPr>
          <w:rFonts w:ascii="Garamond" w:hAnsi="Garamond"/>
          <w:spacing w:val="-3"/>
        </w:rPr>
        <w:t xml:space="preserve"> </w:t>
      </w:r>
      <w:r w:rsidRPr="00116D0B">
        <w:rPr>
          <w:rFonts w:ascii="Garamond" w:hAnsi="Garamond"/>
        </w:rPr>
        <w:t>the</w:t>
      </w:r>
      <w:r w:rsidRPr="00116D0B">
        <w:rPr>
          <w:rFonts w:ascii="Garamond" w:hAnsi="Garamond"/>
          <w:spacing w:val="-4"/>
        </w:rPr>
        <w:t xml:space="preserve"> </w:t>
      </w:r>
      <w:r w:rsidRPr="00116D0B">
        <w:rPr>
          <w:rFonts w:ascii="Garamond" w:hAnsi="Garamond"/>
        </w:rPr>
        <w:t>technical</w:t>
      </w:r>
      <w:r w:rsidRPr="00116D0B">
        <w:rPr>
          <w:rFonts w:ascii="Garamond" w:hAnsi="Garamond"/>
          <w:spacing w:val="1"/>
        </w:rPr>
        <w:t xml:space="preserve"> </w:t>
      </w:r>
      <w:r w:rsidRPr="00116D0B">
        <w:rPr>
          <w:rFonts w:ascii="Garamond" w:hAnsi="Garamond"/>
        </w:rPr>
        <w:t>scope</w:t>
      </w:r>
      <w:r w:rsidRPr="00116D0B">
        <w:rPr>
          <w:rFonts w:ascii="Garamond" w:hAnsi="Garamond"/>
          <w:spacing w:val="-2"/>
        </w:rPr>
        <w:t xml:space="preserve"> </w:t>
      </w:r>
      <w:r w:rsidRPr="00116D0B">
        <w:rPr>
          <w:rFonts w:ascii="Garamond" w:hAnsi="Garamond"/>
        </w:rPr>
        <w:t>and</w:t>
      </w:r>
      <w:r w:rsidRPr="00116D0B">
        <w:rPr>
          <w:rFonts w:ascii="Garamond" w:hAnsi="Garamond"/>
          <w:spacing w:val="-1"/>
        </w:rPr>
        <w:t xml:space="preserve"> </w:t>
      </w:r>
      <w:r w:rsidRPr="00116D0B">
        <w:rPr>
          <w:rFonts w:ascii="Garamond" w:hAnsi="Garamond"/>
        </w:rPr>
        <w:t>the</w:t>
      </w:r>
      <w:r w:rsidRPr="00116D0B">
        <w:rPr>
          <w:rFonts w:ascii="Garamond" w:hAnsi="Garamond"/>
          <w:spacing w:val="-4"/>
        </w:rPr>
        <w:t xml:space="preserve"> </w:t>
      </w:r>
      <w:r w:rsidRPr="00116D0B">
        <w:rPr>
          <w:rFonts w:ascii="Garamond" w:hAnsi="Garamond"/>
        </w:rPr>
        <w:t>geographical</w:t>
      </w:r>
      <w:r w:rsidRPr="00116D0B">
        <w:rPr>
          <w:rFonts w:ascii="Garamond" w:hAnsi="Garamond"/>
          <w:spacing w:val="1"/>
        </w:rPr>
        <w:t xml:space="preserve"> </w:t>
      </w:r>
      <w:r w:rsidRPr="00116D0B">
        <w:rPr>
          <w:rFonts w:ascii="Garamond" w:hAnsi="Garamond"/>
        </w:rPr>
        <w:t>scope.</w:t>
      </w:r>
    </w:p>
    <w:p w14:paraId="074A5723" w14:textId="77777777" w:rsidR="00516F86" w:rsidRPr="00116D0B" w:rsidRDefault="00705660" w:rsidP="00991B2C">
      <w:pPr>
        <w:pStyle w:val="Heading1"/>
        <w:numPr>
          <w:ilvl w:val="1"/>
          <w:numId w:val="1"/>
        </w:numPr>
        <w:tabs>
          <w:tab w:val="left" w:pos="360"/>
        </w:tabs>
        <w:spacing w:line="276" w:lineRule="auto"/>
        <w:ind w:left="450" w:hanging="408"/>
      </w:pPr>
      <w:bookmarkStart w:id="32" w:name="3.1_Technical_Scope"/>
      <w:bookmarkStart w:id="33" w:name="_bookmark11"/>
      <w:bookmarkStart w:id="34" w:name="_Toc166775412"/>
      <w:bookmarkEnd w:id="32"/>
      <w:bookmarkEnd w:id="33"/>
      <w:r w:rsidRPr="00116D0B">
        <w:t>Technical</w:t>
      </w:r>
      <w:r w:rsidRPr="00116D0B">
        <w:rPr>
          <w:spacing w:val="-4"/>
        </w:rPr>
        <w:t xml:space="preserve"> </w:t>
      </w:r>
      <w:r w:rsidRPr="00116D0B">
        <w:t>Scope</w:t>
      </w:r>
      <w:bookmarkEnd w:id="34"/>
    </w:p>
    <w:p w14:paraId="49FDA012" w14:textId="4002D30A" w:rsidR="00516F86" w:rsidRPr="00116D0B" w:rsidRDefault="00705660" w:rsidP="00C3723C">
      <w:pPr>
        <w:pStyle w:val="BodyText"/>
        <w:spacing w:before="240" w:after="240" w:line="276" w:lineRule="auto"/>
        <w:ind w:right="217"/>
        <w:jc w:val="both"/>
        <w:rPr>
          <w:rFonts w:ascii="Garamond" w:hAnsi="Garamond"/>
        </w:rPr>
      </w:pPr>
      <w:r w:rsidRPr="00116D0B">
        <w:rPr>
          <w:rFonts w:ascii="Garamond" w:hAnsi="Garamond"/>
        </w:rPr>
        <w:t>The</w:t>
      </w:r>
      <w:r w:rsidRPr="00116D0B">
        <w:rPr>
          <w:rFonts w:ascii="Garamond" w:hAnsi="Garamond"/>
          <w:spacing w:val="1"/>
        </w:rPr>
        <w:t xml:space="preserve"> </w:t>
      </w:r>
      <w:r w:rsidRPr="00116D0B">
        <w:rPr>
          <w:rFonts w:ascii="Garamond" w:hAnsi="Garamond"/>
        </w:rPr>
        <w:t>endline</w:t>
      </w:r>
      <w:r w:rsidRPr="00116D0B">
        <w:rPr>
          <w:rFonts w:ascii="Garamond" w:hAnsi="Garamond"/>
          <w:spacing w:val="1"/>
        </w:rPr>
        <w:t xml:space="preserve"> </w:t>
      </w:r>
      <w:r w:rsidRPr="00116D0B">
        <w:rPr>
          <w:rFonts w:ascii="Garamond" w:hAnsi="Garamond"/>
        </w:rPr>
        <w:t>evaluation</w:t>
      </w:r>
      <w:r w:rsidRPr="00116D0B">
        <w:rPr>
          <w:rFonts w:ascii="Garamond" w:hAnsi="Garamond"/>
          <w:spacing w:val="1"/>
        </w:rPr>
        <w:t xml:space="preserve"> </w:t>
      </w:r>
      <w:r w:rsidRPr="00116D0B">
        <w:rPr>
          <w:rFonts w:ascii="Garamond" w:hAnsi="Garamond"/>
        </w:rPr>
        <w:t>information</w:t>
      </w:r>
      <w:r w:rsidRPr="00116D0B">
        <w:rPr>
          <w:rFonts w:ascii="Garamond" w:hAnsi="Garamond"/>
          <w:spacing w:val="1"/>
        </w:rPr>
        <w:t xml:space="preserve"> </w:t>
      </w:r>
      <w:r w:rsidRPr="00116D0B">
        <w:rPr>
          <w:rFonts w:ascii="Garamond" w:hAnsi="Garamond"/>
        </w:rPr>
        <w:t>gathering</w:t>
      </w:r>
      <w:r w:rsidRPr="00116D0B">
        <w:rPr>
          <w:rFonts w:ascii="Garamond" w:hAnsi="Garamond"/>
          <w:spacing w:val="1"/>
        </w:rPr>
        <w:t xml:space="preserve"> </w:t>
      </w:r>
      <w:r w:rsidRPr="00116D0B">
        <w:rPr>
          <w:rFonts w:ascii="Garamond" w:hAnsi="Garamond"/>
        </w:rPr>
        <w:t>cover</w:t>
      </w:r>
      <w:r w:rsidR="003A1DC2" w:rsidRPr="00116D0B">
        <w:rPr>
          <w:rFonts w:ascii="Garamond" w:hAnsi="Garamond"/>
        </w:rPr>
        <w:t>ed</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period</w:t>
      </w:r>
      <w:r w:rsidRPr="00116D0B">
        <w:rPr>
          <w:rFonts w:ascii="Garamond" w:hAnsi="Garamond"/>
          <w:spacing w:val="1"/>
        </w:rPr>
        <w:t xml:space="preserve"> </w:t>
      </w:r>
      <w:r w:rsidRPr="00116D0B">
        <w:rPr>
          <w:rFonts w:ascii="Garamond" w:hAnsi="Garamond"/>
        </w:rPr>
        <w:t>of</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project</w:t>
      </w:r>
      <w:r w:rsidRPr="00116D0B">
        <w:rPr>
          <w:rFonts w:ascii="Garamond" w:hAnsi="Garamond"/>
          <w:spacing w:val="1"/>
        </w:rPr>
        <w:t xml:space="preserve"> </w:t>
      </w:r>
      <w:r w:rsidRPr="00116D0B">
        <w:rPr>
          <w:rFonts w:ascii="Garamond" w:hAnsi="Garamond"/>
        </w:rPr>
        <w:t xml:space="preserve">implementation from </w:t>
      </w:r>
      <w:r w:rsidR="003A1DC2" w:rsidRPr="00116D0B">
        <w:rPr>
          <w:rFonts w:ascii="Garamond" w:hAnsi="Garamond"/>
        </w:rPr>
        <w:lastRenderedPageBreak/>
        <w:t>start to finish. It</w:t>
      </w:r>
      <w:r w:rsidRPr="00116D0B">
        <w:rPr>
          <w:rFonts w:ascii="Garamond" w:hAnsi="Garamond"/>
        </w:rPr>
        <w:t xml:space="preserve"> consider</w:t>
      </w:r>
      <w:r w:rsidR="003A1DC2" w:rsidRPr="00116D0B">
        <w:rPr>
          <w:rFonts w:ascii="Garamond" w:hAnsi="Garamond"/>
        </w:rPr>
        <w:t>ed</w:t>
      </w:r>
      <w:r w:rsidRPr="00116D0B">
        <w:rPr>
          <w:rFonts w:ascii="Garamond" w:hAnsi="Garamond"/>
        </w:rPr>
        <w:t xml:space="preserve"> all the documents linked to the</w:t>
      </w:r>
      <w:r w:rsidRPr="00116D0B">
        <w:rPr>
          <w:rFonts w:ascii="Garamond" w:hAnsi="Garamond"/>
          <w:spacing w:val="1"/>
        </w:rPr>
        <w:t xml:space="preserve"> </w:t>
      </w:r>
      <w:r w:rsidRPr="00116D0B">
        <w:rPr>
          <w:rFonts w:ascii="Garamond" w:hAnsi="Garamond"/>
        </w:rPr>
        <w:t>project.</w:t>
      </w:r>
      <w:r w:rsidRPr="00116D0B">
        <w:rPr>
          <w:rFonts w:ascii="Garamond" w:hAnsi="Garamond"/>
          <w:spacing w:val="1"/>
        </w:rPr>
        <w:t xml:space="preserve"> </w:t>
      </w:r>
      <w:r w:rsidRPr="00116D0B">
        <w:rPr>
          <w:rFonts w:ascii="Garamond" w:hAnsi="Garamond"/>
        </w:rPr>
        <w:t>This</w:t>
      </w:r>
      <w:r w:rsidRPr="00116D0B">
        <w:rPr>
          <w:rFonts w:ascii="Garamond" w:hAnsi="Garamond"/>
          <w:spacing w:val="1"/>
        </w:rPr>
        <w:t xml:space="preserve"> </w:t>
      </w:r>
      <w:r w:rsidRPr="00116D0B">
        <w:rPr>
          <w:rFonts w:ascii="Garamond" w:hAnsi="Garamond"/>
        </w:rPr>
        <w:t>includes</w:t>
      </w:r>
      <w:r w:rsidRPr="00116D0B">
        <w:rPr>
          <w:rFonts w:ascii="Garamond" w:hAnsi="Garamond"/>
          <w:spacing w:val="1"/>
        </w:rPr>
        <w:t xml:space="preserve"> </w:t>
      </w:r>
      <w:r w:rsidRPr="00116D0B">
        <w:rPr>
          <w:rFonts w:ascii="Garamond" w:hAnsi="Garamond"/>
        </w:rPr>
        <w:t>the</w:t>
      </w:r>
      <w:r w:rsidRPr="00116D0B">
        <w:rPr>
          <w:rFonts w:ascii="Garamond" w:hAnsi="Garamond"/>
          <w:spacing w:val="1"/>
        </w:rPr>
        <w:t xml:space="preserve"> </w:t>
      </w:r>
      <w:r w:rsidRPr="00116D0B">
        <w:rPr>
          <w:rFonts w:ascii="Garamond" w:hAnsi="Garamond"/>
        </w:rPr>
        <w:t>project</w:t>
      </w:r>
      <w:r w:rsidRPr="00116D0B">
        <w:rPr>
          <w:rFonts w:ascii="Garamond" w:hAnsi="Garamond"/>
          <w:spacing w:val="1"/>
        </w:rPr>
        <w:t xml:space="preserve"> </w:t>
      </w:r>
      <w:r w:rsidRPr="00116D0B">
        <w:rPr>
          <w:rFonts w:ascii="Garamond" w:hAnsi="Garamond"/>
        </w:rPr>
        <w:t>document,</w:t>
      </w:r>
      <w:r w:rsidRPr="00116D0B">
        <w:rPr>
          <w:rFonts w:ascii="Garamond" w:hAnsi="Garamond"/>
          <w:spacing w:val="1"/>
        </w:rPr>
        <w:t xml:space="preserve"> </w:t>
      </w:r>
      <w:r w:rsidRPr="00116D0B">
        <w:rPr>
          <w:rFonts w:ascii="Garamond" w:hAnsi="Garamond"/>
        </w:rPr>
        <w:t>progress</w:t>
      </w:r>
      <w:r w:rsidRPr="00116D0B">
        <w:rPr>
          <w:rFonts w:ascii="Garamond" w:hAnsi="Garamond"/>
          <w:spacing w:val="1"/>
        </w:rPr>
        <w:t xml:space="preserve"> </w:t>
      </w:r>
      <w:r w:rsidRPr="00116D0B">
        <w:rPr>
          <w:rFonts w:ascii="Garamond" w:hAnsi="Garamond"/>
        </w:rPr>
        <w:t>reports</w:t>
      </w:r>
      <w:r w:rsidRPr="00116D0B">
        <w:rPr>
          <w:rFonts w:ascii="Garamond" w:hAnsi="Garamond"/>
          <w:spacing w:val="1"/>
        </w:rPr>
        <w:t xml:space="preserve"> </w:t>
      </w:r>
      <w:r w:rsidRPr="00116D0B">
        <w:rPr>
          <w:rFonts w:ascii="Garamond" w:hAnsi="Garamond"/>
        </w:rPr>
        <w:t>(including</w:t>
      </w:r>
      <w:r w:rsidRPr="00116D0B">
        <w:rPr>
          <w:rFonts w:ascii="Garamond" w:hAnsi="Garamond"/>
          <w:spacing w:val="1"/>
        </w:rPr>
        <w:t xml:space="preserve"> </w:t>
      </w:r>
      <w:r w:rsidRPr="00116D0B">
        <w:rPr>
          <w:rFonts w:ascii="Garamond" w:hAnsi="Garamond"/>
        </w:rPr>
        <w:t>by</w:t>
      </w:r>
      <w:r w:rsidRPr="00116D0B">
        <w:rPr>
          <w:rFonts w:ascii="Garamond" w:hAnsi="Garamond"/>
          <w:spacing w:val="1"/>
        </w:rPr>
        <w:t xml:space="preserve"> </w:t>
      </w:r>
      <w:r w:rsidRPr="00116D0B">
        <w:rPr>
          <w:rFonts w:ascii="Garamond" w:hAnsi="Garamond"/>
        </w:rPr>
        <w:t>implementation partners) as well as documents produced as outputs of the project (e.g.</w:t>
      </w:r>
      <w:r w:rsidRPr="00116D0B">
        <w:rPr>
          <w:rFonts w:ascii="Garamond" w:hAnsi="Garamond"/>
          <w:spacing w:val="1"/>
        </w:rPr>
        <w:t xml:space="preserve"> </w:t>
      </w:r>
      <w:r w:rsidRPr="00116D0B">
        <w:rPr>
          <w:rFonts w:ascii="Garamond" w:hAnsi="Garamond"/>
        </w:rPr>
        <w:t>scoping</w:t>
      </w:r>
      <w:r w:rsidRPr="00116D0B">
        <w:rPr>
          <w:rFonts w:ascii="Garamond" w:hAnsi="Garamond"/>
          <w:spacing w:val="-2"/>
        </w:rPr>
        <w:t xml:space="preserve"> </w:t>
      </w:r>
      <w:r w:rsidRPr="00116D0B">
        <w:rPr>
          <w:rFonts w:ascii="Garamond" w:hAnsi="Garamond"/>
        </w:rPr>
        <w:t>studies,</w:t>
      </w:r>
      <w:r w:rsidRPr="00116D0B">
        <w:rPr>
          <w:rFonts w:ascii="Garamond" w:hAnsi="Garamond"/>
          <w:spacing w:val="-2"/>
        </w:rPr>
        <w:t xml:space="preserve"> </w:t>
      </w:r>
      <w:r w:rsidRPr="00116D0B">
        <w:rPr>
          <w:rFonts w:ascii="Garamond" w:hAnsi="Garamond"/>
        </w:rPr>
        <w:t>knowledge</w:t>
      </w:r>
      <w:r w:rsidRPr="00116D0B">
        <w:rPr>
          <w:rFonts w:ascii="Garamond" w:hAnsi="Garamond"/>
          <w:spacing w:val="1"/>
        </w:rPr>
        <w:t xml:space="preserve"> </w:t>
      </w:r>
      <w:r w:rsidRPr="00116D0B">
        <w:rPr>
          <w:rFonts w:ascii="Garamond" w:hAnsi="Garamond"/>
        </w:rPr>
        <w:t>products such</w:t>
      </w:r>
      <w:r w:rsidRPr="00116D0B">
        <w:rPr>
          <w:rFonts w:ascii="Garamond" w:hAnsi="Garamond"/>
          <w:spacing w:val="-1"/>
        </w:rPr>
        <w:t xml:space="preserve"> </w:t>
      </w:r>
      <w:r w:rsidRPr="00116D0B">
        <w:rPr>
          <w:rFonts w:ascii="Garamond" w:hAnsi="Garamond"/>
        </w:rPr>
        <w:t>as country-level reports,</w:t>
      </w:r>
      <w:r w:rsidRPr="00116D0B">
        <w:rPr>
          <w:rFonts w:ascii="Garamond" w:hAnsi="Garamond"/>
          <w:spacing w:val="-2"/>
        </w:rPr>
        <w:t xml:space="preserve"> </w:t>
      </w:r>
      <w:r w:rsidRPr="00116D0B">
        <w:rPr>
          <w:rFonts w:ascii="Garamond" w:hAnsi="Garamond"/>
        </w:rPr>
        <w:t>etc.).</w:t>
      </w:r>
    </w:p>
    <w:p w14:paraId="21F2C1E2" w14:textId="77777777" w:rsidR="00516F86" w:rsidRPr="00116D0B" w:rsidRDefault="00705660" w:rsidP="00991B2C">
      <w:pPr>
        <w:pStyle w:val="Heading1"/>
        <w:numPr>
          <w:ilvl w:val="1"/>
          <w:numId w:val="1"/>
        </w:numPr>
        <w:tabs>
          <w:tab w:val="left" w:pos="360"/>
        </w:tabs>
        <w:spacing w:line="276" w:lineRule="auto"/>
        <w:ind w:left="450" w:hanging="440"/>
      </w:pPr>
      <w:bookmarkStart w:id="35" w:name="3.2_Geographical_Scope"/>
      <w:bookmarkStart w:id="36" w:name="_bookmark12"/>
      <w:bookmarkStart w:id="37" w:name="_Toc166775413"/>
      <w:bookmarkEnd w:id="35"/>
      <w:bookmarkEnd w:id="36"/>
      <w:r w:rsidRPr="00116D0B">
        <w:t>Geographical</w:t>
      </w:r>
      <w:r w:rsidRPr="00116D0B">
        <w:rPr>
          <w:spacing w:val="-5"/>
        </w:rPr>
        <w:t xml:space="preserve"> </w:t>
      </w:r>
      <w:r w:rsidRPr="00116D0B">
        <w:t>Scope</w:t>
      </w:r>
      <w:bookmarkEnd w:id="37"/>
    </w:p>
    <w:p w14:paraId="48F138A7" w14:textId="2F341267" w:rsidR="00B83DEE" w:rsidRPr="00116D0B" w:rsidRDefault="00705660" w:rsidP="00C3723C">
      <w:pPr>
        <w:pStyle w:val="BodyText"/>
        <w:spacing w:before="240" w:after="240" w:line="276" w:lineRule="auto"/>
        <w:ind w:right="217"/>
        <w:jc w:val="both"/>
        <w:rPr>
          <w:rFonts w:ascii="Garamond" w:hAnsi="Garamond"/>
        </w:rPr>
      </w:pPr>
      <w:r w:rsidRPr="00116D0B">
        <w:rPr>
          <w:rFonts w:ascii="Garamond" w:hAnsi="Garamond"/>
        </w:rPr>
        <w:t>The geog</w:t>
      </w:r>
      <w:r w:rsidR="003A1DC2" w:rsidRPr="00116D0B">
        <w:rPr>
          <w:rFonts w:ascii="Garamond" w:hAnsi="Garamond"/>
        </w:rPr>
        <w:t>raphical scope of the project was</w:t>
      </w:r>
      <w:r w:rsidRPr="00116D0B">
        <w:rPr>
          <w:rFonts w:ascii="Garamond" w:hAnsi="Garamond"/>
        </w:rPr>
        <w:t xml:space="preserve"> the 16 wards of Michika LGA, Adamawa state in</w:t>
      </w:r>
      <w:r w:rsidRPr="00116D0B">
        <w:rPr>
          <w:rFonts w:ascii="Garamond" w:hAnsi="Garamond"/>
          <w:spacing w:val="1"/>
        </w:rPr>
        <w:t xml:space="preserve"> </w:t>
      </w:r>
      <w:r w:rsidRPr="00116D0B">
        <w:rPr>
          <w:rFonts w:ascii="Garamond" w:hAnsi="Garamond"/>
        </w:rPr>
        <w:t>Nigeria.</w:t>
      </w:r>
      <w:r w:rsidR="000C3AA4" w:rsidRPr="00116D0B">
        <w:rPr>
          <w:rFonts w:ascii="Garamond" w:eastAsiaTheme="minorHAnsi" w:hAnsi="Garamond" w:cs="Roboto-Regular"/>
        </w:rPr>
        <w:t xml:space="preserve"> </w:t>
      </w:r>
      <w:r w:rsidR="004343E3">
        <w:rPr>
          <w:rFonts w:ascii="Garamond" w:hAnsi="Garamond"/>
        </w:rPr>
        <w:t>Michika LGA</w:t>
      </w:r>
      <w:r w:rsidR="000C3AA4" w:rsidRPr="00116D0B">
        <w:rPr>
          <w:rFonts w:ascii="Garamond" w:hAnsi="Garamond"/>
        </w:rPr>
        <w:t xml:space="preserve"> of Adamawa State is situated in the North Eastern corner</w:t>
      </w:r>
      <w:r w:rsidR="00C3723C" w:rsidRPr="00116D0B">
        <w:rPr>
          <w:rFonts w:ascii="Garamond" w:hAnsi="Garamond"/>
        </w:rPr>
        <w:t xml:space="preserve"> </w:t>
      </w:r>
      <w:r w:rsidR="004343E3">
        <w:rPr>
          <w:rFonts w:ascii="Garamond" w:hAnsi="Garamond"/>
        </w:rPr>
        <w:t>of Adamawa State</w:t>
      </w:r>
      <w:r w:rsidR="000C3AA4" w:rsidRPr="00116D0B">
        <w:rPr>
          <w:rFonts w:ascii="Garamond" w:hAnsi="Garamond"/>
        </w:rPr>
        <w:t>. It shares common boundaries with Madagali Local Government Area to the North, Lassa (Borno State) to the West, Republic of Cameroun to the East, and to the South, Mubi North and Mubi South Local Government Area. It has a land area of about 142,199 km2. The population of the local government area was 720,000, according to the 2006 population census. The projected population for 2022 calculated based on the Nigeria population growth rate of 2.41% was 1,053,927.</w:t>
      </w:r>
      <w:r w:rsidR="0073698C" w:rsidRPr="00116D0B">
        <w:rPr>
          <w:rFonts w:ascii="Garamond" w:hAnsi="Garamond"/>
        </w:rPr>
        <w:t xml:space="preserve"> </w:t>
      </w:r>
      <w:r w:rsidR="00B83DEE" w:rsidRPr="00116D0B">
        <w:rPr>
          <w:rFonts w:ascii="Garamond" w:hAnsi="Garamond"/>
        </w:rPr>
        <w:t xml:space="preserve">The administrative local government is headquartered in Michika the town which shares the same name as the LGA. The administrative authority is headed by the LGA Chairman who heads the LGA Council. The Council consists of 16 Ward </w:t>
      </w:r>
      <w:proofErr w:type="spellStart"/>
      <w:r w:rsidR="00B83DEE" w:rsidRPr="00116D0B">
        <w:rPr>
          <w:rFonts w:ascii="Garamond" w:hAnsi="Garamond"/>
        </w:rPr>
        <w:t>Councillors</w:t>
      </w:r>
      <w:proofErr w:type="spellEnd"/>
      <w:r w:rsidR="00B83DEE" w:rsidRPr="00116D0B">
        <w:rPr>
          <w:rFonts w:ascii="Garamond" w:hAnsi="Garamond"/>
        </w:rPr>
        <w:t xml:space="preserve"> representing the 16 Wards of Michika.</w:t>
      </w:r>
    </w:p>
    <w:p w14:paraId="3A523E91" w14:textId="141FBA41" w:rsidR="003A1DC2" w:rsidRPr="00116D0B" w:rsidRDefault="003A1DC2" w:rsidP="00C27173">
      <w:pPr>
        <w:pStyle w:val="Caption"/>
      </w:pPr>
      <w:bookmarkStart w:id="38" w:name="_Toc166704024"/>
      <w:r w:rsidRPr="00116D0B">
        <w:t xml:space="preserve">Table </w:t>
      </w:r>
      <w:fldSimple w:instr=" SEQ Table \* ARABIC ">
        <w:r w:rsidR="00116D0B" w:rsidRPr="00116D0B">
          <w:rPr>
            <w:noProof/>
          </w:rPr>
          <w:t>1</w:t>
        </w:r>
      </w:fldSimple>
      <w:r w:rsidRPr="00116D0B">
        <w:t>: The 16 Wards of Michika</w:t>
      </w:r>
      <w:bookmarkEnd w:id="38"/>
    </w:p>
    <w:tbl>
      <w:tblPr>
        <w:tblStyle w:val="TableGridLight1"/>
        <w:tblW w:w="7395" w:type="dxa"/>
        <w:tblLook w:val="04A0" w:firstRow="1" w:lastRow="0" w:firstColumn="1" w:lastColumn="0" w:noHBand="0" w:noVBand="1"/>
      </w:tblPr>
      <w:tblGrid>
        <w:gridCol w:w="2977"/>
        <w:gridCol w:w="4418"/>
      </w:tblGrid>
      <w:tr w:rsidR="00B83DEE" w:rsidRPr="00116D0B" w14:paraId="7F3D1A0B" w14:textId="77777777" w:rsidTr="003A1DC2">
        <w:tc>
          <w:tcPr>
            <w:tcW w:w="0" w:type="auto"/>
            <w:shd w:val="clear" w:color="auto" w:fill="449E46"/>
            <w:hideMark/>
          </w:tcPr>
          <w:p w14:paraId="3DBF83CB" w14:textId="77777777" w:rsidR="00B83DEE" w:rsidRPr="00116D0B" w:rsidRDefault="00B83DEE" w:rsidP="00106849">
            <w:pPr>
              <w:jc w:val="both"/>
              <w:rPr>
                <w:rFonts w:ascii="Garamond" w:hAnsi="Garamond"/>
                <w:b/>
                <w:color w:val="FFFFFF" w:themeColor="background1"/>
                <w:sz w:val="24"/>
                <w:szCs w:val="24"/>
              </w:rPr>
            </w:pPr>
            <w:r w:rsidRPr="00116D0B">
              <w:rPr>
                <w:rFonts w:ascii="Garamond" w:hAnsi="Garamond"/>
                <w:b/>
                <w:color w:val="FFFFFF" w:themeColor="background1"/>
                <w:sz w:val="24"/>
                <w:szCs w:val="24"/>
              </w:rPr>
              <w:t>Ward Number</w:t>
            </w:r>
          </w:p>
        </w:tc>
        <w:tc>
          <w:tcPr>
            <w:tcW w:w="0" w:type="auto"/>
            <w:shd w:val="clear" w:color="auto" w:fill="449E46"/>
            <w:hideMark/>
          </w:tcPr>
          <w:p w14:paraId="772FC8F3" w14:textId="77777777" w:rsidR="00B83DEE" w:rsidRPr="00116D0B" w:rsidRDefault="00B83DEE" w:rsidP="00106849">
            <w:pPr>
              <w:jc w:val="both"/>
              <w:rPr>
                <w:rFonts w:ascii="Garamond" w:hAnsi="Garamond"/>
                <w:b/>
                <w:color w:val="FFFFFF" w:themeColor="background1"/>
                <w:sz w:val="24"/>
                <w:szCs w:val="24"/>
              </w:rPr>
            </w:pPr>
            <w:r w:rsidRPr="00116D0B">
              <w:rPr>
                <w:rFonts w:ascii="Garamond" w:hAnsi="Garamond"/>
                <w:b/>
                <w:color w:val="FFFFFF" w:themeColor="background1"/>
                <w:sz w:val="24"/>
                <w:szCs w:val="24"/>
              </w:rPr>
              <w:t>Ward Name</w:t>
            </w:r>
          </w:p>
        </w:tc>
      </w:tr>
      <w:tr w:rsidR="00B83DEE" w:rsidRPr="00116D0B" w14:paraId="554E345A" w14:textId="77777777" w:rsidTr="000D5841">
        <w:tc>
          <w:tcPr>
            <w:tcW w:w="0" w:type="auto"/>
            <w:hideMark/>
          </w:tcPr>
          <w:p w14:paraId="661D1D4B" w14:textId="77777777" w:rsidR="00B83DEE" w:rsidRPr="00116D0B" w:rsidRDefault="00B83DEE" w:rsidP="00106849">
            <w:pPr>
              <w:jc w:val="both"/>
              <w:rPr>
                <w:rFonts w:ascii="Garamond" w:hAnsi="Garamond"/>
                <w:sz w:val="24"/>
                <w:szCs w:val="24"/>
              </w:rPr>
            </w:pPr>
            <w:r w:rsidRPr="00116D0B">
              <w:rPr>
                <w:rFonts w:ascii="Garamond" w:hAnsi="Garamond"/>
                <w:sz w:val="24"/>
                <w:szCs w:val="24"/>
              </w:rPr>
              <w:t>1</w:t>
            </w:r>
          </w:p>
        </w:tc>
        <w:tc>
          <w:tcPr>
            <w:tcW w:w="0" w:type="auto"/>
            <w:hideMark/>
          </w:tcPr>
          <w:p w14:paraId="05F9A57C" w14:textId="77777777" w:rsidR="00B83DEE" w:rsidRPr="00116D0B" w:rsidRDefault="00B83DEE" w:rsidP="00106849">
            <w:pPr>
              <w:jc w:val="both"/>
              <w:rPr>
                <w:rFonts w:ascii="Garamond" w:hAnsi="Garamond"/>
                <w:sz w:val="24"/>
                <w:szCs w:val="24"/>
              </w:rPr>
            </w:pPr>
            <w:r w:rsidRPr="00116D0B">
              <w:rPr>
                <w:rFonts w:ascii="Garamond" w:hAnsi="Garamond"/>
                <w:sz w:val="24"/>
                <w:szCs w:val="24"/>
              </w:rPr>
              <w:t>Bazza Margi</w:t>
            </w:r>
          </w:p>
        </w:tc>
      </w:tr>
      <w:tr w:rsidR="00B83DEE" w:rsidRPr="00116D0B" w14:paraId="6B856D39" w14:textId="77777777" w:rsidTr="000D5841">
        <w:tc>
          <w:tcPr>
            <w:tcW w:w="0" w:type="auto"/>
            <w:hideMark/>
          </w:tcPr>
          <w:p w14:paraId="343B4447" w14:textId="77777777" w:rsidR="00B83DEE" w:rsidRPr="00116D0B" w:rsidRDefault="00B83DEE" w:rsidP="00106849">
            <w:pPr>
              <w:jc w:val="both"/>
              <w:rPr>
                <w:rFonts w:ascii="Garamond" w:hAnsi="Garamond"/>
                <w:sz w:val="24"/>
                <w:szCs w:val="24"/>
              </w:rPr>
            </w:pPr>
            <w:r w:rsidRPr="00116D0B">
              <w:rPr>
                <w:rFonts w:ascii="Garamond" w:hAnsi="Garamond"/>
                <w:sz w:val="24"/>
                <w:szCs w:val="24"/>
              </w:rPr>
              <w:t>2</w:t>
            </w:r>
          </w:p>
        </w:tc>
        <w:tc>
          <w:tcPr>
            <w:tcW w:w="0" w:type="auto"/>
            <w:hideMark/>
          </w:tcPr>
          <w:p w14:paraId="60B71AA1"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Futudou</w:t>
            </w:r>
            <w:proofErr w:type="spellEnd"/>
            <w:r w:rsidRPr="00116D0B">
              <w:rPr>
                <w:rFonts w:ascii="Garamond" w:hAnsi="Garamond"/>
                <w:sz w:val="24"/>
                <w:szCs w:val="24"/>
              </w:rPr>
              <w:t>/</w:t>
            </w:r>
            <w:proofErr w:type="spellStart"/>
            <w:r w:rsidRPr="00116D0B">
              <w:rPr>
                <w:rFonts w:ascii="Garamond" w:hAnsi="Garamond"/>
                <w:sz w:val="24"/>
                <w:szCs w:val="24"/>
              </w:rPr>
              <w:t>Futules</w:t>
            </w:r>
            <w:proofErr w:type="spellEnd"/>
          </w:p>
        </w:tc>
      </w:tr>
      <w:tr w:rsidR="00B83DEE" w:rsidRPr="00116D0B" w14:paraId="0D39BBC1" w14:textId="77777777" w:rsidTr="000D5841">
        <w:tc>
          <w:tcPr>
            <w:tcW w:w="0" w:type="auto"/>
            <w:hideMark/>
          </w:tcPr>
          <w:p w14:paraId="78BC22A2" w14:textId="77777777" w:rsidR="00B83DEE" w:rsidRPr="00116D0B" w:rsidRDefault="00B83DEE" w:rsidP="00106849">
            <w:pPr>
              <w:jc w:val="both"/>
              <w:rPr>
                <w:rFonts w:ascii="Garamond" w:hAnsi="Garamond"/>
                <w:sz w:val="24"/>
                <w:szCs w:val="24"/>
              </w:rPr>
            </w:pPr>
            <w:r w:rsidRPr="00116D0B">
              <w:rPr>
                <w:rFonts w:ascii="Garamond" w:hAnsi="Garamond"/>
                <w:sz w:val="24"/>
                <w:szCs w:val="24"/>
              </w:rPr>
              <w:t>3</w:t>
            </w:r>
          </w:p>
        </w:tc>
        <w:tc>
          <w:tcPr>
            <w:tcW w:w="0" w:type="auto"/>
            <w:hideMark/>
          </w:tcPr>
          <w:p w14:paraId="64899583"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Garta</w:t>
            </w:r>
            <w:proofErr w:type="spellEnd"/>
            <w:r w:rsidRPr="00116D0B">
              <w:rPr>
                <w:rFonts w:ascii="Garamond" w:hAnsi="Garamond"/>
                <w:sz w:val="24"/>
                <w:szCs w:val="24"/>
              </w:rPr>
              <w:t>/</w:t>
            </w:r>
            <w:proofErr w:type="spellStart"/>
            <w:r w:rsidRPr="00116D0B">
              <w:rPr>
                <w:rFonts w:ascii="Garamond" w:hAnsi="Garamond"/>
                <w:sz w:val="24"/>
                <w:szCs w:val="24"/>
              </w:rPr>
              <w:t>Ghunchi</w:t>
            </w:r>
            <w:proofErr w:type="spellEnd"/>
          </w:p>
        </w:tc>
      </w:tr>
      <w:tr w:rsidR="00B83DEE" w:rsidRPr="00116D0B" w14:paraId="13C82E95" w14:textId="77777777" w:rsidTr="000D5841">
        <w:tc>
          <w:tcPr>
            <w:tcW w:w="0" w:type="auto"/>
            <w:hideMark/>
          </w:tcPr>
          <w:p w14:paraId="7AE48392" w14:textId="77777777" w:rsidR="00B83DEE" w:rsidRPr="00116D0B" w:rsidRDefault="00B83DEE" w:rsidP="00106849">
            <w:pPr>
              <w:jc w:val="both"/>
              <w:rPr>
                <w:rFonts w:ascii="Garamond" w:hAnsi="Garamond"/>
                <w:sz w:val="24"/>
                <w:szCs w:val="24"/>
              </w:rPr>
            </w:pPr>
            <w:r w:rsidRPr="00116D0B">
              <w:rPr>
                <w:rFonts w:ascii="Garamond" w:hAnsi="Garamond"/>
                <w:sz w:val="24"/>
                <w:szCs w:val="24"/>
              </w:rPr>
              <w:t>4</w:t>
            </w:r>
          </w:p>
        </w:tc>
        <w:tc>
          <w:tcPr>
            <w:tcW w:w="0" w:type="auto"/>
            <w:hideMark/>
          </w:tcPr>
          <w:p w14:paraId="2B987B8A"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Jigalambu</w:t>
            </w:r>
            <w:proofErr w:type="spellEnd"/>
          </w:p>
        </w:tc>
      </w:tr>
      <w:tr w:rsidR="00B83DEE" w:rsidRPr="00116D0B" w14:paraId="2DE0BFC2" w14:textId="77777777" w:rsidTr="000D5841">
        <w:tc>
          <w:tcPr>
            <w:tcW w:w="0" w:type="auto"/>
            <w:hideMark/>
          </w:tcPr>
          <w:p w14:paraId="01AFCE9E" w14:textId="77777777" w:rsidR="00B83DEE" w:rsidRPr="00116D0B" w:rsidRDefault="00B83DEE" w:rsidP="00106849">
            <w:pPr>
              <w:jc w:val="both"/>
              <w:rPr>
                <w:rFonts w:ascii="Garamond" w:hAnsi="Garamond"/>
                <w:sz w:val="24"/>
                <w:szCs w:val="24"/>
              </w:rPr>
            </w:pPr>
            <w:r w:rsidRPr="00116D0B">
              <w:rPr>
                <w:rFonts w:ascii="Garamond" w:hAnsi="Garamond"/>
                <w:sz w:val="24"/>
                <w:szCs w:val="24"/>
              </w:rPr>
              <w:t>5</w:t>
            </w:r>
          </w:p>
        </w:tc>
        <w:tc>
          <w:tcPr>
            <w:tcW w:w="0" w:type="auto"/>
            <w:hideMark/>
          </w:tcPr>
          <w:p w14:paraId="5096379F" w14:textId="77777777" w:rsidR="00B83DEE" w:rsidRPr="00116D0B" w:rsidRDefault="00B83DEE" w:rsidP="00106849">
            <w:pPr>
              <w:jc w:val="both"/>
              <w:rPr>
                <w:rFonts w:ascii="Garamond" w:hAnsi="Garamond"/>
                <w:sz w:val="24"/>
                <w:szCs w:val="24"/>
              </w:rPr>
            </w:pPr>
            <w:r w:rsidRPr="00116D0B">
              <w:rPr>
                <w:rFonts w:ascii="Garamond" w:hAnsi="Garamond"/>
                <w:sz w:val="24"/>
                <w:szCs w:val="24"/>
              </w:rPr>
              <w:t>Madzi</w:t>
            </w:r>
          </w:p>
        </w:tc>
      </w:tr>
      <w:tr w:rsidR="00B83DEE" w:rsidRPr="00116D0B" w14:paraId="27C4A1B3" w14:textId="77777777" w:rsidTr="000D5841">
        <w:tc>
          <w:tcPr>
            <w:tcW w:w="0" w:type="auto"/>
            <w:hideMark/>
          </w:tcPr>
          <w:p w14:paraId="22293CA9" w14:textId="77777777" w:rsidR="00B83DEE" w:rsidRPr="00116D0B" w:rsidRDefault="00B83DEE" w:rsidP="00106849">
            <w:pPr>
              <w:jc w:val="both"/>
              <w:rPr>
                <w:rFonts w:ascii="Garamond" w:hAnsi="Garamond"/>
                <w:sz w:val="24"/>
                <w:szCs w:val="24"/>
              </w:rPr>
            </w:pPr>
            <w:r w:rsidRPr="00116D0B">
              <w:rPr>
                <w:rFonts w:ascii="Garamond" w:hAnsi="Garamond"/>
                <w:sz w:val="24"/>
                <w:szCs w:val="24"/>
              </w:rPr>
              <w:t>6</w:t>
            </w:r>
          </w:p>
        </w:tc>
        <w:tc>
          <w:tcPr>
            <w:tcW w:w="0" w:type="auto"/>
            <w:hideMark/>
          </w:tcPr>
          <w:p w14:paraId="2308E84D" w14:textId="77777777" w:rsidR="00B83DEE" w:rsidRPr="00116D0B" w:rsidRDefault="00B83DEE" w:rsidP="00106849">
            <w:pPr>
              <w:jc w:val="both"/>
              <w:rPr>
                <w:rFonts w:ascii="Garamond" w:hAnsi="Garamond"/>
                <w:sz w:val="24"/>
                <w:szCs w:val="24"/>
              </w:rPr>
            </w:pPr>
            <w:r w:rsidRPr="00116D0B">
              <w:rPr>
                <w:rFonts w:ascii="Garamond" w:hAnsi="Garamond"/>
                <w:sz w:val="24"/>
                <w:szCs w:val="24"/>
              </w:rPr>
              <w:t>Michika I</w:t>
            </w:r>
          </w:p>
        </w:tc>
      </w:tr>
      <w:tr w:rsidR="00B83DEE" w:rsidRPr="00116D0B" w14:paraId="6270CB4A" w14:textId="77777777" w:rsidTr="000D5841">
        <w:tc>
          <w:tcPr>
            <w:tcW w:w="0" w:type="auto"/>
            <w:hideMark/>
          </w:tcPr>
          <w:p w14:paraId="3D7C0DB2" w14:textId="77777777" w:rsidR="00B83DEE" w:rsidRPr="00116D0B" w:rsidRDefault="00B83DEE" w:rsidP="00106849">
            <w:pPr>
              <w:jc w:val="both"/>
              <w:rPr>
                <w:rFonts w:ascii="Garamond" w:hAnsi="Garamond"/>
                <w:sz w:val="24"/>
                <w:szCs w:val="24"/>
              </w:rPr>
            </w:pPr>
            <w:r w:rsidRPr="00116D0B">
              <w:rPr>
                <w:rFonts w:ascii="Garamond" w:hAnsi="Garamond"/>
                <w:sz w:val="24"/>
                <w:szCs w:val="24"/>
              </w:rPr>
              <w:t>7</w:t>
            </w:r>
          </w:p>
        </w:tc>
        <w:tc>
          <w:tcPr>
            <w:tcW w:w="0" w:type="auto"/>
            <w:hideMark/>
          </w:tcPr>
          <w:p w14:paraId="5B262BF2" w14:textId="77777777" w:rsidR="00B83DEE" w:rsidRPr="00116D0B" w:rsidRDefault="00B83DEE" w:rsidP="00106849">
            <w:pPr>
              <w:jc w:val="both"/>
              <w:rPr>
                <w:rFonts w:ascii="Garamond" w:hAnsi="Garamond"/>
                <w:sz w:val="24"/>
                <w:szCs w:val="24"/>
              </w:rPr>
            </w:pPr>
            <w:r w:rsidRPr="00116D0B">
              <w:rPr>
                <w:rFonts w:ascii="Garamond" w:hAnsi="Garamond"/>
                <w:sz w:val="24"/>
                <w:szCs w:val="24"/>
              </w:rPr>
              <w:t>Michika II</w:t>
            </w:r>
          </w:p>
        </w:tc>
      </w:tr>
      <w:tr w:rsidR="00B83DEE" w:rsidRPr="00116D0B" w14:paraId="74BF7AB4" w14:textId="77777777" w:rsidTr="000D5841">
        <w:tc>
          <w:tcPr>
            <w:tcW w:w="0" w:type="auto"/>
            <w:hideMark/>
          </w:tcPr>
          <w:p w14:paraId="1C33B0B3" w14:textId="77777777" w:rsidR="00B83DEE" w:rsidRPr="00116D0B" w:rsidRDefault="00B83DEE" w:rsidP="00106849">
            <w:pPr>
              <w:jc w:val="both"/>
              <w:rPr>
                <w:rFonts w:ascii="Garamond" w:hAnsi="Garamond"/>
                <w:sz w:val="24"/>
                <w:szCs w:val="24"/>
              </w:rPr>
            </w:pPr>
            <w:r w:rsidRPr="00116D0B">
              <w:rPr>
                <w:rFonts w:ascii="Garamond" w:hAnsi="Garamond"/>
                <w:sz w:val="24"/>
                <w:szCs w:val="24"/>
              </w:rPr>
              <w:t>8</w:t>
            </w:r>
          </w:p>
        </w:tc>
        <w:tc>
          <w:tcPr>
            <w:tcW w:w="0" w:type="auto"/>
            <w:hideMark/>
          </w:tcPr>
          <w:p w14:paraId="060E7C34"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Minkisi</w:t>
            </w:r>
            <w:proofErr w:type="spellEnd"/>
            <w:r w:rsidRPr="00116D0B">
              <w:rPr>
                <w:rFonts w:ascii="Garamond" w:hAnsi="Garamond"/>
                <w:sz w:val="24"/>
                <w:szCs w:val="24"/>
              </w:rPr>
              <w:t>/</w:t>
            </w:r>
            <w:proofErr w:type="spellStart"/>
            <w:r w:rsidRPr="00116D0B">
              <w:rPr>
                <w:rFonts w:ascii="Garamond" w:hAnsi="Garamond"/>
                <w:sz w:val="24"/>
                <w:szCs w:val="24"/>
              </w:rPr>
              <w:t>Wuro</w:t>
            </w:r>
            <w:proofErr w:type="spellEnd"/>
            <w:r w:rsidRPr="00116D0B">
              <w:rPr>
                <w:rFonts w:ascii="Garamond" w:hAnsi="Garamond"/>
                <w:sz w:val="24"/>
                <w:szCs w:val="24"/>
              </w:rPr>
              <w:t xml:space="preserve"> </w:t>
            </w:r>
            <w:proofErr w:type="spellStart"/>
            <w:r w:rsidRPr="00116D0B">
              <w:rPr>
                <w:rFonts w:ascii="Garamond" w:hAnsi="Garamond"/>
                <w:sz w:val="24"/>
                <w:szCs w:val="24"/>
              </w:rPr>
              <w:t>ngiki</w:t>
            </w:r>
            <w:proofErr w:type="spellEnd"/>
          </w:p>
        </w:tc>
      </w:tr>
      <w:tr w:rsidR="00B83DEE" w:rsidRPr="00116D0B" w14:paraId="0433C502" w14:textId="77777777" w:rsidTr="000D5841">
        <w:tc>
          <w:tcPr>
            <w:tcW w:w="0" w:type="auto"/>
            <w:hideMark/>
          </w:tcPr>
          <w:p w14:paraId="70D344D9" w14:textId="77777777" w:rsidR="00B83DEE" w:rsidRPr="00116D0B" w:rsidRDefault="00B83DEE" w:rsidP="00106849">
            <w:pPr>
              <w:jc w:val="both"/>
              <w:rPr>
                <w:rFonts w:ascii="Garamond" w:hAnsi="Garamond"/>
                <w:sz w:val="24"/>
                <w:szCs w:val="24"/>
              </w:rPr>
            </w:pPr>
            <w:r w:rsidRPr="00116D0B">
              <w:rPr>
                <w:rFonts w:ascii="Garamond" w:hAnsi="Garamond"/>
                <w:sz w:val="24"/>
                <w:szCs w:val="24"/>
              </w:rPr>
              <w:t>9</w:t>
            </w:r>
          </w:p>
        </w:tc>
        <w:tc>
          <w:tcPr>
            <w:tcW w:w="0" w:type="auto"/>
            <w:hideMark/>
          </w:tcPr>
          <w:p w14:paraId="7405239A" w14:textId="77777777" w:rsidR="00B83DEE" w:rsidRPr="00116D0B" w:rsidRDefault="00B83DEE" w:rsidP="00106849">
            <w:pPr>
              <w:jc w:val="both"/>
              <w:rPr>
                <w:rFonts w:ascii="Garamond" w:hAnsi="Garamond"/>
                <w:sz w:val="24"/>
                <w:szCs w:val="24"/>
              </w:rPr>
            </w:pPr>
            <w:r w:rsidRPr="00116D0B">
              <w:rPr>
                <w:rFonts w:ascii="Garamond" w:hAnsi="Garamond"/>
                <w:sz w:val="24"/>
                <w:szCs w:val="24"/>
              </w:rPr>
              <w:t>Moda/</w:t>
            </w:r>
            <w:proofErr w:type="spellStart"/>
            <w:r w:rsidRPr="00116D0B">
              <w:rPr>
                <w:rFonts w:ascii="Garamond" w:hAnsi="Garamond"/>
                <w:sz w:val="24"/>
                <w:szCs w:val="24"/>
              </w:rPr>
              <w:t>Dlaka</w:t>
            </w:r>
            <w:proofErr w:type="spellEnd"/>
            <w:r w:rsidRPr="00116D0B">
              <w:rPr>
                <w:rFonts w:ascii="Garamond" w:hAnsi="Garamond"/>
                <w:sz w:val="24"/>
                <w:szCs w:val="24"/>
              </w:rPr>
              <w:t>/</w:t>
            </w:r>
            <w:proofErr w:type="spellStart"/>
            <w:r w:rsidRPr="00116D0B">
              <w:rPr>
                <w:rFonts w:ascii="Garamond" w:hAnsi="Garamond"/>
                <w:sz w:val="24"/>
                <w:szCs w:val="24"/>
              </w:rPr>
              <w:t>Ghenjuwa</w:t>
            </w:r>
            <w:proofErr w:type="spellEnd"/>
          </w:p>
        </w:tc>
      </w:tr>
      <w:tr w:rsidR="00B83DEE" w:rsidRPr="00116D0B" w14:paraId="7A0C9C9A" w14:textId="77777777" w:rsidTr="000D5841">
        <w:tc>
          <w:tcPr>
            <w:tcW w:w="0" w:type="auto"/>
            <w:hideMark/>
          </w:tcPr>
          <w:p w14:paraId="51198D28" w14:textId="77777777" w:rsidR="00B83DEE" w:rsidRPr="00116D0B" w:rsidRDefault="00B83DEE" w:rsidP="00106849">
            <w:pPr>
              <w:jc w:val="both"/>
              <w:rPr>
                <w:rFonts w:ascii="Garamond" w:hAnsi="Garamond"/>
                <w:sz w:val="24"/>
                <w:szCs w:val="24"/>
              </w:rPr>
            </w:pPr>
            <w:r w:rsidRPr="00116D0B">
              <w:rPr>
                <w:rFonts w:ascii="Garamond" w:hAnsi="Garamond"/>
                <w:sz w:val="24"/>
                <w:szCs w:val="24"/>
              </w:rPr>
              <w:t>10</w:t>
            </w:r>
          </w:p>
        </w:tc>
        <w:tc>
          <w:tcPr>
            <w:tcW w:w="0" w:type="auto"/>
            <w:hideMark/>
          </w:tcPr>
          <w:p w14:paraId="5C49108B"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Munkavicita</w:t>
            </w:r>
            <w:proofErr w:type="spellEnd"/>
          </w:p>
        </w:tc>
      </w:tr>
      <w:tr w:rsidR="00B83DEE" w:rsidRPr="00116D0B" w14:paraId="586F7532" w14:textId="77777777" w:rsidTr="000D5841">
        <w:tc>
          <w:tcPr>
            <w:tcW w:w="0" w:type="auto"/>
            <w:hideMark/>
          </w:tcPr>
          <w:p w14:paraId="50E0C6AA" w14:textId="77777777" w:rsidR="00B83DEE" w:rsidRPr="00116D0B" w:rsidRDefault="00B83DEE" w:rsidP="00106849">
            <w:pPr>
              <w:jc w:val="both"/>
              <w:rPr>
                <w:rFonts w:ascii="Garamond" w:hAnsi="Garamond"/>
                <w:sz w:val="24"/>
                <w:szCs w:val="24"/>
              </w:rPr>
            </w:pPr>
            <w:r w:rsidRPr="00116D0B">
              <w:rPr>
                <w:rFonts w:ascii="Garamond" w:hAnsi="Garamond"/>
                <w:sz w:val="24"/>
                <w:szCs w:val="24"/>
              </w:rPr>
              <w:t>11</w:t>
            </w:r>
          </w:p>
        </w:tc>
        <w:tc>
          <w:tcPr>
            <w:tcW w:w="0" w:type="auto"/>
            <w:hideMark/>
          </w:tcPr>
          <w:p w14:paraId="5A325839" w14:textId="77777777" w:rsidR="00B83DEE" w:rsidRPr="00116D0B" w:rsidRDefault="00B83DEE" w:rsidP="00106849">
            <w:pPr>
              <w:jc w:val="both"/>
              <w:rPr>
                <w:rFonts w:ascii="Garamond" w:hAnsi="Garamond"/>
                <w:sz w:val="24"/>
                <w:szCs w:val="24"/>
              </w:rPr>
            </w:pPr>
            <w:r w:rsidRPr="00116D0B">
              <w:rPr>
                <w:rFonts w:ascii="Garamond" w:hAnsi="Garamond"/>
                <w:sz w:val="24"/>
                <w:szCs w:val="24"/>
              </w:rPr>
              <w:t>Sina/Kamale/</w:t>
            </w:r>
            <w:proofErr w:type="spellStart"/>
            <w:r w:rsidRPr="00116D0B">
              <w:rPr>
                <w:rFonts w:ascii="Garamond" w:hAnsi="Garamond"/>
                <w:sz w:val="24"/>
                <w:szCs w:val="24"/>
              </w:rPr>
              <w:t>Kwande</w:t>
            </w:r>
            <w:proofErr w:type="spellEnd"/>
          </w:p>
        </w:tc>
      </w:tr>
      <w:tr w:rsidR="00B83DEE" w:rsidRPr="00116D0B" w14:paraId="251E7D0C" w14:textId="77777777" w:rsidTr="000D5841">
        <w:tc>
          <w:tcPr>
            <w:tcW w:w="0" w:type="auto"/>
            <w:hideMark/>
          </w:tcPr>
          <w:p w14:paraId="46EFEDFC" w14:textId="77777777" w:rsidR="00B83DEE" w:rsidRPr="00116D0B" w:rsidRDefault="00B83DEE" w:rsidP="00106849">
            <w:pPr>
              <w:jc w:val="both"/>
              <w:rPr>
                <w:rFonts w:ascii="Garamond" w:hAnsi="Garamond"/>
                <w:sz w:val="24"/>
                <w:szCs w:val="24"/>
              </w:rPr>
            </w:pPr>
            <w:r w:rsidRPr="00116D0B">
              <w:rPr>
                <w:rFonts w:ascii="Garamond" w:hAnsi="Garamond"/>
                <w:sz w:val="24"/>
                <w:szCs w:val="24"/>
              </w:rPr>
              <w:t>12</w:t>
            </w:r>
          </w:p>
        </w:tc>
        <w:tc>
          <w:tcPr>
            <w:tcW w:w="0" w:type="auto"/>
            <w:hideMark/>
          </w:tcPr>
          <w:p w14:paraId="7D89A8D2"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Sukumu</w:t>
            </w:r>
            <w:proofErr w:type="spellEnd"/>
            <w:r w:rsidRPr="00116D0B">
              <w:rPr>
                <w:rFonts w:ascii="Garamond" w:hAnsi="Garamond"/>
                <w:sz w:val="24"/>
                <w:szCs w:val="24"/>
              </w:rPr>
              <w:t>/</w:t>
            </w:r>
            <w:proofErr w:type="spellStart"/>
            <w:r w:rsidRPr="00116D0B">
              <w:rPr>
                <w:rFonts w:ascii="Garamond" w:hAnsi="Garamond"/>
                <w:sz w:val="24"/>
                <w:szCs w:val="24"/>
              </w:rPr>
              <w:t>Tillijo</w:t>
            </w:r>
            <w:proofErr w:type="spellEnd"/>
          </w:p>
        </w:tc>
      </w:tr>
      <w:tr w:rsidR="00B83DEE" w:rsidRPr="00116D0B" w14:paraId="0A922EA1" w14:textId="77777777" w:rsidTr="000D5841">
        <w:tc>
          <w:tcPr>
            <w:tcW w:w="0" w:type="auto"/>
            <w:hideMark/>
          </w:tcPr>
          <w:p w14:paraId="1DAFF979" w14:textId="77777777" w:rsidR="00B83DEE" w:rsidRPr="00116D0B" w:rsidRDefault="00B83DEE" w:rsidP="00106849">
            <w:pPr>
              <w:jc w:val="both"/>
              <w:rPr>
                <w:rFonts w:ascii="Garamond" w:hAnsi="Garamond"/>
                <w:sz w:val="24"/>
                <w:szCs w:val="24"/>
              </w:rPr>
            </w:pPr>
            <w:r w:rsidRPr="00116D0B">
              <w:rPr>
                <w:rFonts w:ascii="Garamond" w:hAnsi="Garamond"/>
                <w:sz w:val="24"/>
                <w:szCs w:val="24"/>
              </w:rPr>
              <w:t>13</w:t>
            </w:r>
          </w:p>
        </w:tc>
        <w:tc>
          <w:tcPr>
            <w:tcW w:w="0" w:type="auto"/>
            <w:hideMark/>
          </w:tcPr>
          <w:p w14:paraId="03024EB5"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Thukudou</w:t>
            </w:r>
            <w:proofErr w:type="spellEnd"/>
            <w:r w:rsidRPr="00116D0B">
              <w:rPr>
                <w:rFonts w:ascii="Garamond" w:hAnsi="Garamond"/>
                <w:sz w:val="24"/>
                <w:szCs w:val="24"/>
              </w:rPr>
              <w:t>/</w:t>
            </w:r>
            <w:proofErr w:type="spellStart"/>
            <w:r w:rsidRPr="00116D0B">
              <w:rPr>
                <w:rFonts w:ascii="Garamond" w:hAnsi="Garamond"/>
                <w:sz w:val="24"/>
                <w:szCs w:val="24"/>
              </w:rPr>
              <w:t>Sufuku</w:t>
            </w:r>
            <w:proofErr w:type="spellEnd"/>
            <w:r w:rsidRPr="00116D0B">
              <w:rPr>
                <w:rFonts w:ascii="Garamond" w:hAnsi="Garamond"/>
                <w:sz w:val="24"/>
                <w:szCs w:val="24"/>
              </w:rPr>
              <w:t>/Zah</w:t>
            </w:r>
          </w:p>
        </w:tc>
      </w:tr>
      <w:tr w:rsidR="00B83DEE" w:rsidRPr="00116D0B" w14:paraId="6BC7CCAC" w14:textId="77777777" w:rsidTr="000D5841">
        <w:tc>
          <w:tcPr>
            <w:tcW w:w="0" w:type="auto"/>
            <w:hideMark/>
          </w:tcPr>
          <w:p w14:paraId="251384CC" w14:textId="77777777" w:rsidR="00B83DEE" w:rsidRPr="00116D0B" w:rsidRDefault="00B83DEE" w:rsidP="00106849">
            <w:pPr>
              <w:jc w:val="both"/>
              <w:rPr>
                <w:rFonts w:ascii="Garamond" w:hAnsi="Garamond"/>
                <w:sz w:val="24"/>
                <w:szCs w:val="24"/>
              </w:rPr>
            </w:pPr>
            <w:r w:rsidRPr="00116D0B">
              <w:rPr>
                <w:rFonts w:ascii="Garamond" w:hAnsi="Garamond"/>
                <w:sz w:val="24"/>
                <w:szCs w:val="24"/>
              </w:rPr>
              <w:t>14</w:t>
            </w:r>
          </w:p>
        </w:tc>
        <w:tc>
          <w:tcPr>
            <w:tcW w:w="0" w:type="auto"/>
            <w:hideMark/>
          </w:tcPr>
          <w:p w14:paraId="78DA5A51"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Tumbara</w:t>
            </w:r>
            <w:proofErr w:type="spellEnd"/>
            <w:r w:rsidRPr="00116D0B">
              <w:rPr>
                <w:rFonts w:ascii="Garamond" w:hAnsi="Garamond"/>
                <w:sz w:val="24"/>
                <w:szCs w:val="24"/>
              </w:rPr>
              <w:t>/</w:t>
            </w:r>
            <w:proofErr w:type="spellStart"/>
            <w:r w:rsidRPr="00116D0B">
              <w:rPr>
                <w:rFonts w:ascii="Garamond" w:hAnsi="Garamond"/>
                <w:sz w:val="24"/>
                <w:szCs w:val="24"/>
              </w:rPr>
              <w:t>Ngabili</w:t>
            </w:r>
            <w:proofErr w:type="spellEnd"/>
          </w:p>
        </w:tc>
      </w:tr>
      <w:tr w:rsidR="00B83DEE" w:rsidRPr="00116D0B" w14:paraId="1CB3D468" w14:textId="77777777" w:rsidTr="000D5841">
        <w:tc>
          <w:tcPr>
            <w:tcW w:w="0" w:type="auto"/>
            <w:hideMark/>
          </w:tcPr>
          <w:p w14:paraId="6B03D2A6" w14:textId="77777777" w:rsidR="00B83DEE" w:rsidRPr="00116D0B" w:rsidRDefault="00B83DEE" w:rsidP="00106849">
            <w:pPr>
              <w:jc w:val="both"/>
              <w:rPr>
                <w:rFonts w:ascii="Garamond" w:hAnsi="Garamond"/>
                <w:sz w:val="24"/>
                <w:szCs w:val="24"/>
              </w:rPr>
            </w:pPr>
            <w:r w:rsidRPr="00116D0B">
              <w:rPr>
                <w:rFonts w:ascii="Garamond" w:hAnsi="Garamond"/>
                <w:sz w:val="24"/>
                <w:szCs w:val="24"/>
              </w:rPr>
              <w:t>15</w:t>
            </w:r>
          </w:p>
        </w:tc>
        <w:tc>
          <w:tcPr>
            <w:tcW w:w="0" w:type="auto"/>
            <w:hideMark/>
          </w:tcPr>
          <w:p w14:paraId="0CB5275D" w14:textId="77777777" w:rsidR="00B83DEE" w:rsidRPr="00116D0B" w:rsidRDefault="00B83DEE" w:rsidP="00106849">
            <w:pPr>
              <w:jc w:val="both"/>
              <w:rPr>
                <w:rFonts w:ascii="Garamond" w:hAnsi="Garamond"/>
                <w:sz w:val="24"/>
                <w:szCs w:val="24"/>
              </w:rPr>
            </w:pPr>
            <w:r w:rsidRPr="00116D0B">
              <w:rPr>
                <w:rFonts w:ascii="Garamond" w:hAnsi="Garamond"/>
                <w:sz w:val="24"/>
                <w:szCs w:val="24"/>
              </w:rPr>
              <w:t>Vi/Boka</w:t>
            </w:r>
          </w:p>
        </w:tc>
      </w:tr>
      <w:tr w:rsidR="00B83DEE" w:rsidRPr="00116D0B" w14:paraId="127F4B8A" w14:textId="77777777" w:rsidTr="000D5841">
        <w:tc>
          <w:tcPr>
            <w:tcW w:w="0" w:type="auto"/>
            <w:hideMark/>
          </w:tcPr>
          <w:p w14:paraId="39E86768" w14:textId="77777777" w:rsidR="00B83DEE" w:rsidRPr="00116D0B" w:rsidRDefault="00B83DEE" w:rsidP="00106849">
            <w:pPr>
              <w:jc w:val="both"/>
              <w:rPr>
                <w:rFonts w:ascii="Garamond" w:hAnsi="Garamond"/>
                <w:sz w:val="24"/>
                <w:szCs w:val="24"/>
              </w:rPr>
            </w:pPr>
            <w:r w:rsidRPr="00116D0B">
              <w:rPr>
                <w:rFonts w:ascii="Garamond" w:hAnsi="Garamond"/>
                <w:sz w:val="24"/>
                <w:szCs w:val="24"/>
              </w:rPr>
              <w:t>16</w:t>
            </w:r>
          </w:p>
        </w:tc>
        <w:tc>
          <w:tcPr>
            <w:tcW w:w="0" w:type="auto"/>
            <w:hideMark/>
          </w:tcPr>
          <w:p w14:paraId="23D3E184" w14:textId="77777777" w:rsidR="00B83DEE" w:rsidRPr="00116D0B" w:rsidRDefault="00B83DEE" w:rsidP="00106849">
            <w:pPr>
              <w:jc w:val="both"/>
              <w:rPr>
                <w:rFonts w:ascii="Garamond" w:hAnsi="Garamond"/>
                <w:sz w:val="24"/>
                <w:szCs w:val="24"/>
              </w:rPr>
            </w:pPr>
            <w:proofErr w:type="spellStart"/>
            <w:r w:rsidRPr="00116D0B">
              <w:rPr>
                <w:rFonts w:ascii="Garamond" w:hAnsi="Garamond"/>
                <w:sz w:val="24"/>
                <w:szCs w:val="24"/>
              </w:rPr>
              <w:t>Wamblimi</w:t>
            </w:r>
            <w:proofErr w:type="spellEnd"/>
            <w:r w:rsidRPr="00116D0B">
              <w:rPr>
                <w:rFonts w:ascii="Garamond" w:hAnsi="Garamond"/>
                <w:sz w:val="24"/>
                <w:szCs w:val="24"/>
              </w:rPr>
              <w:t>/Tilli</w:t>
            </w:r>
          </w:p>
        </w:tc>
      </w:tr>
    </w:tbl>
    <w:p w14:paraId="3881A4A8" w14:textId="77777777" w:rsidR="00106849" w:rsidRPr="00C27173" w:rsidRDefault="00106849" w:rsidP="00C27173">
      <w:bookmarkStart w:id="39" w:name="3.3_Evaluation_Theory"/>
      <w:bookmarkStart w:id="40" w:name="_bookmark13"/>
      <w:bookmarkEnd w:id="39"/>
      <w:bookmarkEnd w:id="40"/>
    </w:p>
    <w:p w14:paraId="60968B5C" w14:textId="77777777" w:rsidR="00106849" w:rsidRPr="00116D0B" w:rsidRDefault="00106849">
      <w:pPr>
        <w:rPr>
          <w:rFonts w:ascii="Garamond" w:hAnsi="Garamond"/>
          <w:b/>
          <w:bCs/>
          <w:sz w:val="24"/>
          <w:szCs w:val="24"/>
        </w:rPr>
      </w:pPr>
      <w:r w:rsidRPr="00116D0B">
        <w:rPr>
          <w:rFonts w:ascii="Garamond" w:hAnsi="Garamond"/>
          <w:sz w:val="24"/>
          <w:szCs w:val="24"/>
        </w:rPr>
        <w:br w:type="page"/>
      </w:r>
    </w:p>
    <w:p w14:paraId="4423DD47" w14:textId="3E3F17A7" w:rsidR="000E35C5" w:rsidRPr="00116D0B" w:rsidRDefault="003A1DC2" w:rsidP="000E35C5">
      <w:pPr>
        <w:pStyle w:val="Heading1"/>
      </w:pPr>
      <w:bookmarkStart w:id="41" w:name="4.0_Methodology"/>
      <w:bookmarkStart w:id="42" w:name="_bookmark15"/>
      <w:bookmarkStart w:id="43" w:name="_Toc164724102"/>
      <w:bookmarkStart w:id="44" w:name="_Toc166775414"/>
      <w:bookmarkEnd w:id="41"/>
      <w:bookmarkEnd w:id="42"/>
      <w:r w:rsidRPr="00116D0B">
        <w:lastRenderedPageBreak/>
        <w:t>3</w:t>
      </w:r>
      <w:r w:rsidR="000E35C5" w:rsidRPr="00116D0B">
        <w:t>.0</w:t>
      </w:r>
      <w:r w:rsidR="000E35C5" w:rsidRPr="00116D0B">
        <w:tab/>
        <w:t>METHODOLOGY</w:t>
      </w:r>
      <w:bookmarkEnd w:id="43"/>
      <w:bookmarkEnd w:id="44"/>
    </w:p>
    <w:p w14:paraId="1D6F3FC0" w14:textId="1E63D2D8"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bookmarkStart w:id="45" w:name="_Toc143421884"/>
      <w:bookmarkStart w:id="46" w:name="_Toc164724105"/>
      <w:r w:rsidRPr="00116D0B">
        <w:rPr>
          <w:rFonts w:ascii="Garamond" w:eastAsia="Calibri" w:hAnsi="Garamond" w:cs="Calibri"/>
          <w:sz w:val="24"/>
          <w:szCs w:val="24"/>
          <w:lang w:val="en-GB"/>
        </w:rPr>
        <w:t xml:space="preserve">The endline evaluation utilized ‘Mixed-Methods’ approach, while employing both ‘Qualitative’ and Quantitative’ data collection methods. The following data collection methods were employed: </w:t>
      </w:r>
    </w:p>
    <w:p w14:paraId="4FED625F" w14:textId="77777777" w:rsidR="003A1DC2" w:rsidRPr="00116D0B" w:rsidRDefault="003A1DC2" w:rsidP="003A1DC2">
      <w:pPr>
        <w:widowControl/>
        <w:numPr>
          <w:ilvl w:val="0"/>
          <w:numId w:val="21"/>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Comprehensive Desk Review </w:t>
      </w:r>
    </w:p>
    <w:p w14:paraId="60E3A423" w14:textId="77777777" w:rsidR="003A1DC2" w:rsidRPr="00116D0B" w:rsidRDefault="003A1DC2" w:rsidP="003A1DC2">
      <w:pPr>
        <w:widowControl/>
        <w:numPr>
          <w:ilvl w:val="0"/>
          <w:numId w:val="21"/>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Outcome Harvesting</w:t>
      </w:r>
    </w:p>
    <w:p w14:paraId="181CB373" w14:textId="77777777" w:rsidR="003A1DC2" w:rsidRPr="00116D0B" w:rsidRDefault="003A1DC2" w:rsidP="003A1DC2">
      <w:pPr>
        <w:widowControl/>
        <w:numPr>
          <w:ilvl w:val="0"/>
          <w:numId w:val="21"/>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Quantitative Methods – Administration of questionnaires </w:t>
      </w:r>
    </w:p>
    <w:p w14:paraId="201D095D" w14:textId="77777777" w:rsidR="003A1DC2" w:rsidRPr="00116D0B" w:rsidRDefault="003A1DC2" w:rsidP="003A1DC2">
      <w:pPr>
        <w:widowControl/>
        <w:numPr>
          <w:ilvl w:val="0"/>
          <w:numId w:val="21"/>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Qualitative Methods </w:t>
      </w:r>
    </w:p>
    <w:p w14:paraId="14FCEC4F" w14:textId="77777777" w:rsidR="003A1DC2" w:rsidRPr="00116D0B" w:rsidRDefault="003A1DC2" w:rsidP="003A1DC2">
      <w:pPr>
        <w:widowControl/>
        <w:numPr>
          <w:ilvl w:val="0"/>
          <w:numId w:val="22"/>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Key Informant Interviews (KIIs) </w:t>
      </w:r>
    </w:p>
    <w:p w14:paraId="46025D07" w14:textId="77777777" w:rsidR="003A1DC2" w:rsidRPr="00116D0B" w:rsidRDefault="003A1DC2" w:rsidP="003A1DC2">
      <w:pPr>
        <w:widowControl/>
        <w:numPr>
          <w:ilvl w:val="0"/>
          <w:numId w:val="22"/>
        </w:numPr>
        <w:autoSpaceDE/>
        <w:autoSpaceDN/>
        <w:spacing w:after="160" w:line="276"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Focus Group Discussions (FGDs)</w:t>
      </w:r>
    </w:p>
    <w:p w14:paraId="63B7B693" w14:textId="77777777" w:rsidR="003A1DC2" w:rsidRPr="00116D0B" w:rsidRDefault="003A1DC2" w:rsidP="003A1DC2">
      <w:pPr>
        <w:widowControl/>
        <w:autoSpaceDE/>
        <w:autoSpaceDN/>
        <w:spacing w:before="240" w:after="240" w:line="276" w:lineRule="auto"/>
        <w:jc w:val="both"/>
        <w:rPr>
          <w:rFonts w:ascii="Garamond" w:eastAsia="Calibri" w:hAnsi="Garamond" w:cs="Calibri"/>
          <w:bCs/>
          <w:sz w:val="24"/>
          <w:szCs w:val="24"/>
          <w:lang w:val="en-GB"/>
        </w:rPr>
      </w:pPr>
      <w:r w:rsidRPr="00116D0B">
        <w:rPr>
          <w:rFonts w:ascii="Garamond" w:eastAsia="Calibri" w:hAnsi="Garamond" w:cs="Calibri"/>
          <w:bCs/>
          <w:sz w:val="24"/>
          <w:szCs w:val="24"/>
          <w:lang w:val="en-GB"/>
        </w:rPr>
        <w:t>Each component of the data collection method is discussed below</w:t>
      </w:r>
    </w:p>
    <w:p w14:paraId="19E407DC" w14:textId="344C4DDF" w:rsidR="003A1DC2" w:rsidRPr="00116D0B" w:rsidRDefault="003A1DC2" w:rsidP="003A1DC2">
      <w:pPr>
        <w:pStyle w:val="Heading2"/>
        <w:rPr>
          <w:rFonts w:eastAsia="Calibri"/>
          <w:szCs w:val="24"/>
          <w:lang w:val="en-GB"/>
        </w:rPr>
      </w:pPr>
      <w:bookmarkStart w:id="47" w:name="_Toc166775415"/>
      <w:r w:rsidRPr="00116D0B">
        <w:rPr>
          <w:rFonts w:eastAsia="Calibri"/>
          <w:szCs w:val="24"/>
          <w:lang w:val="en-GB"/>
        </w:rPr>
        <w:t>3.1</w:t>
      </w:r>
      <w:r w:rsidRPr="00116D0B">
        <w:rPr>
          <w:rFonts w:eastAsia="Calibri"/>
          <w:szCs w:val="24"/>
          <w:lang w:val="en-GB"/>
        </w:rPr>
        <w:tab/>
        <w:t>Desk Review</w:t>
      </w:r>
      <w:bookmarkEnd w:id="47"/>
    </w:p>
    <w:p w14:paraId="5C0E5052" w14:textId="5A4DEEB2" w:rsidR="003A1DC2" w:rsidRPr="00116D0B" w:rsidRDefault="003A1DC2" w:rsidP="003A1DC2">
      <w:pPr>
        <w:widowControl/>
        <w:autoSpaceDE/>
        <w:autoSpaceDN/>
        <w:spacing w:before="240" w:after="240" w:line="276" w:lineRule="auto"/>
        <w:jc w:val="both"/>
        <w:rPr>
          <w:rFonts w:ascii="Garamond" w:eastAsia="Calibri" w:hAnsi="Garamond" w:cs="Calibri"/>
          <w:bCs/>
          <w:sz w:val="24"/>
          <w:szCs w:val="24"/>
          <w:lang w:val="en-GB"/>
        </w:rPr>
      </w:pPr>
      <w:r w:rsidRPr="00116D0B">
        <w:rPr>
          <w:rFonts w:ascii="Garamond" w:eastAsia="Calibri" w:hAnsi="Garamond" w:cs="Calibri"/>
          <w:bCs/>
          <w:sz w:val="24"/>
          <w:szCs w:val="24"/>
          <w:lang w:val="en-GB"/>
        </w:rPr>
        <w:t>A desk review was conducted to comprehensively evaluate existing documents, reports, and data pertaining to the project. This review encompassed a detailed analysis of various project documents, including the project proposal, baseline and progress reports, indicator matrix, project log-fra</w:t>
      </w:r>
      <w:r w:rsidR="004343E3">
        <w:rPr>
          <w:rFonts w:ascii="Garamond" w:eastAsia="Calibri" w:hAnsi="Garamond" w:cs="Calibri"/>
          <w:bCs/>
          <w:sz w:val="24"/>
          <w:szCs w:val="24"/>
          <w:lang w:val="en-GB"/>
        </w:rPr>
        <w:t xml:space="preserve">me, </w:t>
      </w:r>
      <w:r w:rsidRPr="00116D0B">
        <w:rPr>
          <w:rFonts w:ascii="Garamond" w:eastAsia="Calibri" w:hAnsi="Garamond" w:cs="Calibri"/>
          <w:bCs/>
          <w:sz w:val="24"/>
          <w:szCs w:val="24"/>
          <w:lang w:val="en-GB"/>
        </w:rPr>
        <w:t>CDP documents, Michika LGA budget documents as well as the Costed Action Plan (CAP). Additionally, relevant government reports were examined to gather comprehensive insights.</w:t>
      </w:r>
    </w:p>
    <w:p w14:paraId="2C2C4BFB" w14:textId="77777777" w:rsidR="003A1DC2" w:rsidRPr="00116D0B" w:rsidRDefault="003A1DC2" w:rsidP="003A1DC2">
      <w:pPr>
        <w:widowControl/>
        <w:autoSpaceDE/>
        <w:autoSpaceDN/>
        <w:spacing w:before="240" w:after="240" w:line="276" w:lineRule="auto"/>
        <w:jc w:val="both"/>
        <w:rPr>
          <w:rFonts w:ascii="Garamond" w:eastAsia="Calibri" w:hAnsi="Garamond" w:cs="Calibri"/>
          <w:bCs/>
          <w:sz w:val="24"/>
          <w:szCs w:val="24"/>
          <w:lang w:val="en-GB"/>
        </w:rPr>
      </w:pPr>
      <w:r w:rsidRPr="00116D0B">
        <w:rPr>
          <w:rFonts w:ascii="Garamond" w:eastAsia="Calibri" w:hAnsi="Garamond" w:cs="Calibri"/>
          <w:bCs/>
          <w:sz w:val="24"/>
          <w:szCs w:val="24"/>
          <w:lang w:val="en-GB"/>
        </w:rPr>
        <w:t>The inclusion of CDP documents in the desk review added a valuable perspective to the evaluation. These documents provided insights into the community's development priorities, goals, and strategies, which helped in understanding the project's alignment with community needs and expectations.</w:t>
      </w:r>
    </w:p>
    <w:p w14:paraId="3A6BAF21" w14:textId="17CD3C8D" w:rsidR="003A1DC2" w:rsidRPr="00116D0B" w:rsidRDefault="003A1DC2" w:rsidP="003A1DC2">
      <w:pPr>
        <w:widowControl/>
        <w:autoSpaceDE/>
        <w:autoSpaceDN/>
        <w:spacing w:before="240" w:after="240" w:line="276" w:lineRule="auto"/>
        <w:jc w:val="both"/>
        <w:rPr>
          <w:rFonts w:ascii="Garamond" w:eastAsia="Calibri" w:hAnsi="Garamond" w:cs="Calibri"/>
          <w:b/>
          <w:bCs/>
          <w:sz w:val="24"/>
          <w:szCs w:val="24"/>
          <w:lang w:val="en-GB"/>
        </w:rPr>
      </w:pPr>
      <w:r w:rsidRPr="00116D0B">
        <w:rPr>
          <w:rFonts w:ascii="Garamond" w:eastAsia="Calibri" w:hAnsi="Garamond" w:cs="Calibri"/>
          <w:bCs/>
          <w:sz w:val="24"/>
          <w:szCs w:val="24"/>
          <w:lang w:val="en-GB"/>
        </w:rPr>
        <w:t>The desk review gave a comprehensive understanding of the project's context and objectives, and also helped in identifying areas for further investigation and guided the formulation of primary data collection strategies for the evaluation.</w:t>
      </w:r>
    </w:p>
    <w:p w14:paraId="502A61C0" w14:textId="169D55D0" w:rsidR="003A1DC2" w:rsidRPr="00116D0B" w:rsidRDefault="003A1DC2" w:rsidP="003A1DC2">
      <w:pPr>
        <w:pStyle w:val="Heading2"/>
        <w:rPr>
          <w:rFonts w:eastAsia="Calibri"/>
          <w:szCs w:val="24"/>
          <w:lang w:val="en-GB"/>
        </w:rPr>
      </w:pPr>
      <w:bookmarkStart w:id="48" w:name="_Toc166775416"/>
      <w:r w:rsidRPr="00116D0B">
        <w:rPr>
          <w:rFonts w:eastAsia="Calibri"/>
          <w:szCs w:val="24"/>
          <w:lang w:val="en-GB"/>
        </w:rPr>
        <w:t>3.2</w:t>
      </w:r>
      <w:r w:rsidRPr="00116D0B">
        <w:rPr>
          <w:rFonts w:eastAsia="Calibri"/>
          <w:szCs w:val="24"/>
          <w:lang w:val="en-GB"/>
        </w:rPr>
        <w:tab/>
        <w:t>Qualitative Methods</w:t>
      </w:r>
      <w:bookmarkEnd w:id="48"/>
      <w:r w:rsidRPr="00116D0B">
        <w:rPr>
          <w:rFonts w:eastAsia="Calibri"/>
          <w:szCs w:val="24"/>
          <w:lang w:val="en-GB"/>
        </w:rPr>
        <w:t xml:space="preserve"> </w:t>
      </w:r>
    </w:p>
    <w:p w14:paraId="04F4D7A6" w14:textId="6E56448A"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The key qualitative methods employed during the assessment comprised of KIIs with relevant stakeholde</w:t>
      </w:r>
      <w:r w:rsidR="004343E3">
        <w:rPr>
          <w:rFonts w:ascii="Garamond" w:eastAsia="Calibri" w:hAnsi="Garamond" w:cs="Calibri"/>
          <w:sz w:val="24"/>
          <w:szCs w:val="24"/>
          <w:lang w:val="en-GB"/>
        </w:rPr>
        <w:t>rs and FGDs</w:t>
      </w:r>
      <w:r w:rsidRPr="00116D0B">
        <w:rPr>
          <w:rFonts w:ascii="Garamond" w:eastAsia="Calibri" w:hAnsi="Garamond" w:cs="Calibri"/>
          <w:sz w:val="24"/>
          <w:szCs w:val="24"/>
          <w:lang w:val="en-GB"/>
        </w:rPr>
        <w:t xml:space="preserve"> with community members. </w:t>
      </w:r>
    </w:p>
    <w:p w14:paraId="1A72EDA7" w14:textId="6E612B70" w:rsidR="003A1DC2" w:rsidRPr="00116D0B" w:rsidRDefault="003A1DC2" w:rsidP="003A1DC2">
      <w:pPr>
        <w:pStyle w:val="TOC3"/>
        <w:rPr>
          <w:lang w:val="en-GB"/>
        </w:rPr>
      </w:pPr>
      <w:r w:rsidRPr="00116D0B">
        <w:rPr>
          <w:lang w:val="en-GB"/>
        </w:rPr>
        <w:t>3.2.1</w:t>
      </w:r>
      <w:r w:rsidRPr="00116D0B">
        <w:rPr>
          <w:lang w:val="en-GB"/>
        </w:rPr>
        <w:tab/>
        <w:t xml:space="preserve">Key Informant Interviews </w:t>
      </w:r>
    </w:p>
    <w:p w14:paraId="4613D52B" w14:textId="7537A2E1"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The KIIs are in-depth discussions with individuals selected for their first-hand knowledge on the assessment thematic areas. The evaluation team utilized purposive sampling for identification and selection of stakeholders. The total number of key informants interviewed is presented in table 2 below;</w:t>
      </w:r>
    </w:p>
    <w:p w14:paraId="72708C2B" w14:textId="56668C5B"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p>
    <w:p w14:paraId="3723547A" w14:textId="413DE98E"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p>
    <w:p w14:paraId="7F35B1BE" w14:textId="77777777"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p>
    <w:p w14:paraId="50250AC5" w14:textId="6A0CEED8" w:rsidR="003A1DC2" w:rsidRPr="00116D0B" w:rsidRDefault="003A1DC2" w:rsidP="00C27173">
      <w:pPr>
        <w:pStyle w:val="Caption"/>
      </w:pPr>
      <w:bookmarkStart w:id="49" w:name="_Toc166704025"/>
      <w:r w:rsidRPr="00116D0B">
        <w:lastRenderedPageBreak/>
        <w:t xml:space="preserve">Table </w:t>
      </w:r>
      <w:fldSimple w:instr=" SEQ Table \* ARABIC ">
        <w:r w:rsidR="00116D0B" w:rsidRPr="00116D0B">
          <w:rPr>
            <w:noProof/>
          </w:rPr>
          <w:t>2</w:t>
        </w:r>
      </w:fldSimple>
      <w:r w:rsidRPr="00116D0B">
        <w:t>: Key stakeholders interviewed</w:t>
      </w:r>
      <w:bookmarkEnd w:id="49"/>
    </w:p>
    <w:tbl>
      <w:tblPr>
        <w:tblStyle w:val="TableGridLight1"/>
        <w:tblW w:w="0" w:type="auto"/>
        <w:tblLayout w:type="fixed"/>
        <w:tblLook w:val="01E0" w:firstRow="1" w:lastRow="1" w:firstColumn="1" w:lastColumn="1" w:noHBand="0" w:noVBand="0"/>
      </w:tblPr>
      <w:tblGrid>
        <w:gridCol w:w="5868"/>
        <w:gridCol w:w="3482"/>
      </w:tblGrid>
      <w:tr w:rsidR="003A1DC2" w:rsidRPr="00116D0B" w14:paraId="49600862" w14:textId="77777777" w:rsidTr="003A1DC2">
        <w:trPr>
          <w:trHeight w:val="314"/>
        </w:trPr>
        <w:tc>
          <w:tcPr>
            <w:tcW w:w="5868" w:type="dxa"/>
            <w:shd w:val="clear" w:color="auto" w:fill="449E46"/>
          </w:tcPr>
          <w:p w14:paraId="4D7CA8BC" w14:textId="77777777" w:rsidR="003A1DC2" w:rsidRPr="00116D0B" w:rsidRDefault="003A1DC2" w:rsidP="003A1DC2">
            <w:pPr>
              <w:ind w:left="101"/>
              <w:jc w:val="both"/>
              <w:rPr>
                <w:rFonts w:ascii="Garamond" w:hAnsi="Garamond"/>
                <w:b/>
                <w:color w:val="FFFFFF"/>
                <w:sz w:val="24"/>
                <w:szCs w:val="24"/>
              </w:rPr>
            </w:pPr>
            <w:r w:rsidRPr="00116D0B">
              <w:rPr>
                <w:rFonts w:ascii="Garamond" w:hAnsi="Garamond"/>
                <w:b/>
                <w:color w:val="FFFFFF"/>
                <w:sz w:val="24"/>
                <w:szCs w:val="24"/>
              </w:rPr>
              <w:t>Stakeholders</w:t>
            </w:r>
          </w:p>
        </w:tc>
        <w:tc>
          <w:tcPr>
            <w:tcW w:w="3482" w:type="dxa"/>
            <w:shd w:val="clear" w:color="auto" w:fill="449E46"/>
          </w:tcPr>
          <w:p w14:paraId="42621F85" w14:textId="77777777" w:rsidR="003A1DC2" w:rsidRPr="00116D0B" w:rsidRDefault="003A1DC2" w:rsidP="003A1DC2">
            <w:pPr>
              <w:ind w:left="101"/>
              <w:jc w:val="both"/>
              <w:rPr>
                <w:rFonts w:ascii="Garamond" w:hAnsi="Garamond"/>
                <w:b/>
                <w:color w:val="FFFFFF"/>
                <w:sz w:val="24"/>
                <w:szCs w:val="24"/>
              </w:rPr>
            </w:pPr>
            <w:r w:rsidRPr="00116D0B">
              <w:rPr>
                <w:rFonts w:ascii="Garamond" w:hAnsi="Garamond"/>
                <w:b/>
                <w:color w:val="FFFFFF"/>
                <w:sz w:val="24"/>
                <w:szCs w:val="24"/>
              </w:rPr>
              <w:t>Number of KII</w:t>
            </w:r>
          </w:p>
        </w:tc>
      </w:tr>
      <w:tr w:rsidR="003A1DC2" w:rsidRPr="00116D0B" w14:paraId="65B51BE1" w14:textId="77777777" w:rsidTr="00F51140">
        <w:trPr>
          <w:trHeight w:val="88"/>
        </w:trPr>
        <w:tc>
          <w:tcPr>
            <w:tcW w:w="5868" w:type="dxa"/>
          </w:tcPr>
          <w:p w14:paraId="042E73FE"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Project Manager</w:t>
            </w:r>
          </w:p>
        </w:tc>
        <w:tc>
          <w:tcPr>
            <w:tcW w:w="3482" w:type="dxa"/>
          </w:tcPr>
          <w:p w14:paraId="05248954"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1</w:t>
            </w:r>
          </w:p>
        </w:tc>
      </w:tr>
      <w:tr w:rsidR="003A1DC2" w:rsidRPr="00116D0B" w14:paraId="410CD983" w14:textId="77777777" w:rsidTr="00F51140">
        <w:trPr>
          <w:trHeight w:val="178"/>
        </w:trPr>
        <w:tc>
          <w:tcPr>
            <w:tcW w:w="5868" w:type="dxa"/>
          </w:tcPr>
          <w:p w14:paraId="6FFB61B3"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Monitoring and Evaluation Lead</w:t>
            </w:r>
          </w:p>
        </w:tc>
        <w:tc>
          <w:tcPr>
            <w:tcW w:w="3482" w:type="dxa"/>
          </w:tcPr>
          <w:p w14:paraId="19DFFD80"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1</w:t>
            </w:r>
          </w:p>
        </w:tc>
      </w:tr>
      <w:tr w:rsidR="003A1DC2" w:rsidRPr="00116D0B" w14:paraId="1DE349D2" w14:textId="77777777" w:rsidTr="00F51140">
        <w:trPr>
          <w:trHeight w:val="178"/>
        </w:trPr>
        <w:tc>
          <w:tcPr>
            <w:tcW w:w="5868" w:type="dxa"/>
          </w:tcPr>
          <w:p w14:paraId="25015168"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Project officer</w:t>
            </w:r>
          </w:p>
        </w:tc>
        <w:tc>
          <w:tcPr>
            <w:tcW w:w="3482" w:type="dxa"/>
          </w:tcPr>
          <w:p w14:paraId="3E9CBBF4"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1</w:t>
            </w:r>
          </w:p>
        </w:tc>
      </w:tr>
      <w:tr w:rsidR="003A1DC2" w:rsidRPr="00116D0B" w14:paraId="5C99989F" w14:textId="77777777" w:rsidTr="00F51140">
        <w:trPr>
          <w:trHeight w:val="178"/>
        </w:trPr>
        <w:tc>
          <w:tcPr>
            <w:tcW w:w="5868" w:type="dxa"/>
          </w:tcPr>
          <w:p w14:paraId="3393D063"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Project Partners</w:t>
            </w:r>
          </w:p>
        </w:tc>
        <w:tc>
          <w:tcPr>
            <w:tcW w:w="3482" w:type="dxa"/>
          </w:tcPr>
          <w:p w14:paraId="48AE2A4D"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1</w:t>
            </w:r>
          </w:p>
        </w:tc>
      </w:tr>
      <w:tr w:rsidR="003A1DC2" w:rsidRPr="00116D0B" w14:paraId="54B0D4FA" w14:textId="77777777" w:rsidTr="00F51140">
        <w:trPr>
          <w:trHeight w:val="648"/>
        </w:trPr>
        <w:tc>
          <w:tcPr>
            <w:tcW w:w="5868" w:type="dxa"/>
          </w:tcPr>
          <w:p w14:paraId="0B810500"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Community</w:t>
            </w:r>
            <w:r w:rsidRPr="00116D0B">
              <w:rPr>
                <w:rFonts w:ascii="Garamond" w:hAnsi="Garamond"/>
                <w:spacing w:val="-5"/>
                <w:sz w:val="24"/>
                <w:szCs w:val="24"/>
              </w:rPr>
              <w:t xml:space="preserve"> representatives (members from ward development support committees)</w:t>
            </w:r>
          </w:p>
        </w:tc>
        <w:tc>
          <w:tcPr>
            <w:tcW w:w="3482" w:type="dxa"/>
          </w:tcPr>
          <w:p w14:paraId="6FA9806D"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8 ( 1 per Ward)</w:t>
            </w:r>
          </w:p>
        </w:tc>
      </w:tr>
      <w:tr w:rsidR="003A1DC2" w:rsidRPr="00116D0B" w14:paraId="54591E5F" w14:textId="77777777" w:rsidTr="00F51140">
        <w:trPr>
          <w:trHeight w:val="170"/>
        </w:trPr>
        <w:tc>
          <w:tcPr>
            <w:tcW w:w="5868" w:type="dxa"/>
          </w:tcPr>
          <w:p w14:paraId="1EE74C92"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Traditional Leaders</w:t>
            </w:r>
          </w:p>
        </w:tc>
        <w:tc>
          <w:tcPr>
            <w:tcW w:w="3482" w:type="dxa"/>
          </w:tcPr>
          <w:p w14:paraId="2A713709"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3</w:t>
            </w:r>
          </w:p>
        </w:tc>
      </w:tr>
      <w:tr w:rsidR="003A1DC2" w:rsidRPr="00116D0B" w14:paraId="446B37A4" w14:textId="77777777" w:rsidTr="00F51140">
        <w:trPr>
          <w:trHeight w:val="143"/>
        </w:trPr>
        <w:tc>
          <w:tcPr>
            <w:tcW w:w="5868" w:type="dxa"/>
          </w:tcPr>
          <w:p w14:paraId="79EF1500"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Council Leader</w:t>
            </w:r>
          </w:p>
        </w:tc>
        <w:tc>
          <w:tcPr>
            <w:tcW w:w="3482" w:type="dxa"/>
          </w:tcPr>
          <w:p w14:paraId="64058FD1"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3</w:t>
            </w:r>
          </w:p>
        </w:tc>
      </w:tr>
      <w:tr w:rsidR="003A1DC2" w:rsidRPr="00116D0B" w14:paraId="2ED1F8C0" w14:textId="77777777" w:rsidTr="00F51140">
        <w:trPr>
          <w:trHeight w:val="143"/>
        </w:trPr>
        <w:tc>
          <w:tcPr>
            <w:tcW w:w="5868" w:type="dxa"/>
          </w:tcPr>
          <w:p w14:paraId="60426BF0"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Religious leaders</w:t>
            </w:r>
          </w:p>
        </w:tc>
        <w:tc>
          <w:tcPr>
            <w:tcW w:w="3482" w:type="dxa"/>
          </w:tcPr>
          <w:p w14:paraId="6F33BC76"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3</w:t>
            </w:r>
          </w:p>
        </w:tc>
      </w:tr>
      <w:tr w:rsidR="003A1DC2" w:rsidRPr="00116D0B" w14:paraId="2E057CAB" w14:textId="77777777" w:rsidTr="00F51140">
        <w:trPr>
          <w:trHeight w:val="214"/>
        </w:trPr>
        <w:tc>
          <w:tcPr>
            <w:tcW w:w="5868" w:type="dxa"/>
          </w:tcPr>
          <w:p w14:paraId="48409738"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Local government secretary</w:t>
            </w:r>
          </w:p>
        </w:tc>
        <w:tc>
          <w:tcPr>
            <w:tcW w:w="3482" w:type="dxa"/>
          </w:tcPr>
          <w:p w14:paraId="70F62565" w14:textId="77777777" w:rsidR="003A1DC2" w:rsidRPr="00116D0B" w:rsidRDefault="003A1DC2" w:rsidP="003A1DC2">
            <w:pPr>
              <w:ind w:left="101"/>
              <w:jc w:val="both"/>
              <w:rPr>
                <w:rFonts w:ascii="Garamond" w:hAnsi="Garamond"/>
                <w:sz w:val="24"/>
                <w:szCs w:val="24"/>
              </w:rPr>
            </w:pPr>
            <w:r w:rsidRPr="00116D0B">
              <w:rPr>
                <w:rFonts w:ascii="Garamond" w:hAnsi="Garamond"/>
                <w:sz w:val="24"/>
                <w:szCs w:val="24"/>
              </w:rPr>
              <w:t>1</w:t>
            </w:r>
          </w:p>
        </w:tc>
      </w:tr>
      <w:tr w:rsidR="003A1DC2" w:rsidRPr="00116D0B" w14:paraId="2970521C" w14:textId="77777777" w:rsidTr="00F51140">
        <w:trPr>
          <w:trHeight w:val="70"/>
        </w:trPr>
        <w:tc>
          <w:tcPr>
            <w:tcW w:w="5868" w:type="dxa"/>
          </w:tcPr>
          <w:p w14:paraId="238C7208" w14:textId="77777777" w:rsidR="003A1DC2" w:rsidRPr="00116D0B" w:rsidRDefault="003A1DC2" w:rsidP="003A1DC2">
            <w:pPr>
              <w:ind w:left="101"/>
              <w:jc w:val="both"/>
              <w:rPr>
                <w:rFonts w:ascii="Garamond" w:hAnsi="Garamond"/>
                <w:b/>
                <w:sz w:val="24"/>
                <w:szCs w:val="24"/>
              </w:rPr>
            </w:pPr>
            <w:r w:rsidRPr="00116D0B">
              <w:rPr>
                <w:rFonts w:ascii="Garamond" w:hAnsi="Garamond"/>
                <w:b/>
                <w:sz w:val="24"/>
                <w:szCs w:val="24"/>
              </w:rPr>
              <w:t>Total</w:t>
            </w:r>
          </w:p>
        </w:tc>
        <w:tc>
          <w:tcPr>
            <w:tcW w:w="3482" w:type="dxa"/>
          </w:tcPr>
          <w:p w14:paraId="5DFF6270" w14:textId="77777777" w:rsidR="003A1DC2" w:rsidRPr="00116D0B" w:rsidRDefault="003A1DC2" w:rsidP="003A1DC2">
            <w:pPr>
              <w:ind w:left="101"/>
              <w:jc w:val="both"/>
              <w:rPr>
                <w:rFonts w:ascii="Garamond" w:hAnsi="Garamond"/>
                <w:b/>
                <w:sz w:val="24"/>
                <w:szCs w:val="24"/>
              </w:rPr>
            </w:pPr>
            <w:r w:rsidRPr="00116D0B">
              <w:rPr>
                <w:rFonts w:ascii="Garamond" w:hAnsi="Garamond"/>
                <w:b/>
                <w:sz w:val="24"/>
                <w:szCs w:val="24"/>
              </w:rPr>
              <w:t>22</w:t>
            </w:r>
          </w:p>
        </w:tc>
      </w:tr>
    </w:tbl>
    <w:p w14:paraId="7D2FC646" w14:textId="09171490" w:rsidR="003A1DC2" w:rsidRPr="00116D0B" w:rsidRDefault="003A1DC2" w:rsidP="003A1DC2">
      <w:pPr>
        <w:pStyle w:val="TOC3"/>
        <w:rPr>
          <w:lang w:val="en-GB"/>
        </w:rPr>
      </w:pPr>
      <w:bookmarkStart w:id="50" w:name="_Toc164724108"/>
      <w:bookmarkEnd w:id="45"/>
      <w:bookmarkEnd w:id="46"/>
      <w:r w:rsidRPr="00116D0B">
        <w:rPr>
          <w:lang w:val="en-GB"/>
        </w:rPr>
        <w:t>3.2.2</w:t>
      </w:r>
      <w:r w:rsidRPr="00116D0B">
        <w:rPr>
          <w:lang w:val="en-GB"/>
        </w:rPr>
        <w:tab/>
        <w:t>Focus Group Discussions</w:t>
      </w:r>
    </w:p>
    <w:p w14:paraId="7D8FF88C" w14:textId="7C471A18"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Focus group discussion guides were developed for members of the community. A total of twenty-four (24) FGDs comprising 16 gender disaggregated FGDs and 8 mixed FGDs (men and women) were conducted by trained field assistants across the 8 wards visited. A detailed description is shown in Table below:</w:t>
      </w:r>
    </w:p>
    <w:p w14:paraId="7FEAF622" w14:textId="264B6EAF" w:rsidR="003A1DC2" w:rsidRPr="00C27173" w:rsidRDefault="003A1DC2" w:rsidP="00C27173">
      <w:pPr>
        <w:pStyle w:val="Caption"/>
      </w:pPr>
      <w:bookmarkStart w:id="51" w:name="_Toc166704026"/>
      <w:r w:rsidRPr="00C27173">
        <w:t xml:space="preserve">Table </w:t>
      </w:r>
      <w:fldSimple w:instr=" SEQ Table \* ARABIC ">
        <w:r w:rsidR="00116D0B" w:rsidRPr="00C27173">
          <w:t>3</w:t>
        </w:r>
      </w:fldSimple>
      <w:r w:rsidRPr="00C27173">
        <w:t>: Total number of FGDs conducted</w:t>
      </w:r>
      <w:bookmarkEnd w:id="51"/>
    </w:p>
    <w:tbl>
      <w:tblPr>
        <w:tblStyle w:val="TableGridLight2"/>
        <w:tblW w:w="9301" w:type="dxa"/>
        <w:tblLook w:val="04A0" w:firstRow="1" w:lastRow="0" w:firstColumn="1" w:lastColumn="0" w:noHBand="0" w:noVBand="1"/>
      </w:tblPr>
      <w:tblGrid>
        <w:gridCol w:w="2997"/>
        <w:gridCol w:w="1418"/>
        <w:gridCol w:w="1885"/>
        <w:gridCol w:w="1880"/>
        <w:gridCol w:w="1121"/>
      </w:tblGrid>
      <w:tr w:rsidR="003A1DC2" w:rsidRPr="00116D0B" w14:paraId="09B242D9" w14:textId="77777777" w:rsidTr="003A1DC2">
        <w:trPr>
          <w:trHeight w:val="390"/>
        </w:trPr>
        <w:tc>
          <w:tcPr>
            <w:tcW w:w="2997" w:type="dxa"/>
            <w:shd w:val="clear" w:color="auto" w:fill="449E46"/>
          </w:tcPr>
          <w:p w14:paraId="436C20E0" w14:textId="77777777" w:rsidR="003A1DC2" w:rsidRPr="00116D0B" w:rsidRDefault="003A1DC2" w:rsidP="003A1DC2">
            <w:pPr>
              <w:jc w:val="both"/>
              <w:rPr>
                <w:rFonts w:ascii="Garamond" w:hAnsi="Garamond" w:cs="Calibri"/>
                <w:b/>
                <w:color w:val="FFFFFF"/>
                <w:sz w:val="24"/>
                <w:szCs w:val="24"/>
                <w:lang w:eastAsia="zh-CN"/>
              </w:rPr>
            </w:pPr>
            <w:r w:rsidRPr="00116D0B">
              <w:rPr>
                <w:rFonts w:ascii="Garamond" w:hAnsi="Garamond" w:cs="Calibri"/>
                <w:b/>
                <w:color w:val="FFFFFF"/>
                <w:sz w:val="24"/>
                <w:szCs w:val="24"/>
                <w:lang w:eastAsia="zh-CN"/>
              </w:rPr>
              <w:t xml:space="preserve">Ward </w:t>
            </w:r>
          </w:p>
        </w:tc>
        <w:tc>
          <w:tcPr>
            <w:tcW w:w="1418" w:type="dxa"/>
            <w:shd w:val="clear" w:color="auto" w:fill="449E46"/>
            <w:noWrap/>
            <w:hideMark/>
          </w:tcPr>
          <w:p w14:paraId="2636163B" w14:textId="77777777" w:rsidR="003A1DC2" w:rsidRPr="00116D0B" w:rsidRDefault="003A1DC2" w:rsidP="003A1DC2">
            <w:pPr>
              <w:jc w:val="both"/>
              <w:rPr>
                <w:rFonts w:ascii="Garamond" w:hAnsi="Garamond" w:cs="Calibri"/>
                <w:b/>
                <w:color w:val="FFFFFF"/>
                <w:sz w:val="24"/>
                <w:szCs w:val="24"/>
                <w:lang w:eastAsia="zh-CN"/>
              </w:rPr>
            </w:pPr>
            <w:r w:rsidRPr="00116D0B">
              <w:rPr>
                <w:rFonts w:ascii="Garamond" w:hAnsi="Garamond" w:cs="Calibri"/>
                <w:b/>
                <w:color w:val="FFFFFF"/>
                <w:sz w:val="24"/>
                <w:szCs w:val="24"/>
                <w:lang w:eastAsia="zh-CN"/>
              </w:rPr>
              <w:t>FGD with Male groups</w:t>
            </w:r>
          </w:p>
        </w:tc>
        <w:tc>
          <w:tcPr>
            <w:tcW w:w="1885" w:type="dxa"/>
            <w:shd w:val="clear" w:color="auto" w:fill="449E46"/>
            <w:noWrap/>
            <w:hideMark/>
          </w:tcPr>
          <w:p w14:paraId="03FF9BA5" w14:textId="77777777" w:rsidR="003A1DC2" w:rsidRPr="00116D0B" w:rsidRDefault="003A1DC2" w:rsidP="003A1DC2">
            <w:pPr>
              <w:jc w:val="both"/>
              <w:rPr>
                <w:rFonts w:ascii="Garamond" w:hAnsi="Garamond" w:cs="Calibri"/>
                <w:b/>
                <w:color w:val="FFFFFF"/>
                <w:sz w:val="24"/>
                <w:szCs w:val="24"/>
                <w:lang w:eastAsia="zh-CN"/>
              </w:rPr>
            </w:pPr>
            <w:r w:rsidRPr="00116D0B">
              <w:rPr>
                <w:rFonts w:ascii="Garamond" w:hAnsi="Garamond" w:cs="Calibri"/>
                <w:b/>
                <w:color w:val="FFFFFF"/>
                <w:sz w:val="24"/>
                <w:szCs w:val="24"/>
                <w:lang w:eastAsia="zh-CN"/>
              </w:rPr>
              <w:t>FGD with Female groups</w:t>
            </w:r>
          </w:p>
        </w:tc>
        <w:tc>
          <w:tcPr>
            <w:tcW w:w="1880" w:type="dxa"/>
            <w:shd w:val="clear" w:color="auto" w:fill="449E46"/>
          </w:tcPr>
          <w:p w14:paraId="0002C3FD" w14:textId="77777777" w:rsidR="003A1DC2" w:rsidRPr="00116D0B" w:rsidRDefault="003A1DC2" w:rsidP="003A1DC2">
            <w:pPr>
              <w:jc w:val="both"/>
              <w:rPr>
                <w:rFonts w:ascii="Garamond" w:hAnsi="Garamond" w:cs="Calibri"/>
                <w:b/>
                <w:color w:val="FFFFFF"/>
                <w:sz w:val="24"/>
                <w:szCs w:val="24"/>
                <w:lang w:eastAsia="zh-CN"/>
              </w:rPr>
            </w:pPr>
            <w:r w:rsidRPr="00116D0B">
              <w:rPr>
                <w:rFonts w:ascii="Garamond" w:hAnsi="Garamond" w:cs="Calibri"/>
                <w:b/>
                <w:color w:val="FFFFFF"/>
                <w:sz w:val="24"/>
                <w:szCs w:val="24"/>
                <w:lang w:eastAsia="zh-CN"/>
              </w:rPr>
              <w:t>FGD with male and female groups</w:t>
            </w:r>
          </w:p>
        </w:tc>
        <w:tc>
          <w:tcPr>
            <w:tcW w:w="1121" w:type="dxa"/>
            <w:shd w:val="clear" w:color="auto" w:fill="449E46"/>
            <w:noWrap/>
            <w:hideMark/>
          </w:tcPr>
          <w:p w14:paraId="0525797C" w14:textId="77777777" w:rsidR="003A1DC2" w:rsidRPr="00116D0B" w:rsidRDefault="003A1DC2" w:rsidP="003A1DC2">
            <w:pPr>
              <w:jc w:val="both"/>
              <w:rPr>
                <w:rFonts w:ascii="Garamond" w:hAnsi="Garamond" w:cs="Calibri"/>
                <w:b/>
                <w:color w:val="FFFFFF"/>
                <w:sz w:val="24"/>
                <w:szCs w:val="24"/>
                <w:lang w:eastAsia="zh-CN"/>
              </w:rPr>
            </w:pPr>
            <w:r w:rsidRPr="00116D0B">
              <w:rPr>
                <w:rFonts w:ascii="Garamond" w:hAnsi="Garamond" w:cs="Calibri"/>
                <w:b/>
                <w:color w:val="FFFFFF"/>
                <w:sz w:val="24"/>
                <w:szCs w:val="24"/>
                <w:lang w:eastAsia="zh-CN"/>
              </w:rPr>
              <w:t xml:space="preserve">Total </w:t>
            </w:r>
          </w:p>
        </w:tc>
      </w:tr>
      <w:tr w:rsidR="003A1DC2" w:rsidRPr="00116D0B" w14:paraId="57EC3BF0" w14:textId="77777777" w:rsidTr="00F51140">
        <w:trPr>
          <w:trHeight w:val="200"/>
        </w:trPr>
        <w:tc>
          <w:tcPr>
            <w:tcW w:w="2997" w:type="dxa"/>
          </w:tcPr>
          <w:p w14:paraId="16BB3402" w14:textId="77777777" w:rsidR="003A1DC2" w:rsidRPr="00116D0B" w:rsidRDefault="003A1DC2" w:rsidP="003A1DC2">
            <w:pPr>
              <w:jc w:val="both"/>
              <w:rPr>
                <w:rFonts w:ascii="Garamond" w:hAnsi="Garamond" w:cs="Calibri"/>
                <w:b/>
                <w:color w:val="000000"/>
                <w:sz w:val="24"/>
                <w:szCs w:val="24"/>
                <w:lang w:eastAsia="zh-CN"/>
              </w:rPr>
            </w:pPr>
            <w:proofErr w:type="spellStart"/>
            <w:r w:rsidRPr="00116D0B">
              <w:rPr>
                <w:rFonts w:ascii="Garamond" w:hAnsi="Garamond" w:cs="Calibri"/>
                <w:color w:val="000000"/>
                <w:sz w:val="24"/>
                <w:szCs w:val="24"/>
                <w:lang w:eastAsia="zh-CN"/>
              </w:rPr>
              <w:t>Garta</w:t>
            </w:r>
            <w:proofErr w:type="spellEnd"/>
            <w:r w:rsidRPr="00116D0B">
              <w:rPr>
                <w:rFonts w:ascii="Garamond" w:hAnsi="Garamond" w:cs="Calibri"/>
                <w:color w:val="000000"/>
                <w:sz w:val="24"/>
                <w:szCs w:val="24"/>
                <w:lang w:eastAsia="zh-CN"/>
              </w:rPr>
              <w:t>/</w:t>
            </w:r>
            <w:proofErr w:type="spellStart"/>
            <w:r w:rsidRPr="00116D0B">
              <w:rPr>
                <w:rFonts w:ascii="Garamond" w:hAnsi="Garamond" w:cs="Calibri"/>
                <w:color w:val="000000"/>
                <w:sz w:val="24"/>
                <w:szCs w:val="24"/>
                <w:lang w:eastAsia="zh-CN"/>
              </w:rPr>
              <w:t>Ghunchi</w:t>
            </w:r>
            <w:proofErr w:type="spellEnd"/>
          </w:p>
        </w:tc>
        <w:tc>
          <w:tcPr>
            <w:tcW w:w="1418" w:type="dxa"/>
            <w:noWrap/>
            <w:hideMark/>
          </w:tcPr>
          <w:p w14:paraId="26C6DB72"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35DD7BAB"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0CDE29C0"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41F465A5"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1A1FAD8E" w14:textId="77777777" w:rsidTr="00F51140">
        <w:trPr>
          <w:trHeight w:val="285"/>
        </w:trPr>
        <w:tc>
          <w:tcPr>
            <w:tcW w:w="2997" w:type="dxa"/>
          </w:tcPr>
          <w:p w14:paraId="1CC44D97"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Madzi</w:t>
            </w:r>
          </w:p>
        </w:tc>
        <w:tc>
          <w:tcPr>
            <w:tcW w:w="1418" w:type="dxa"/>
            <w:noWrap/>
          </w:tcPr>
          <w:p w14:paraId="31E166CF" w14:textId="77777777" w:rsidR="003A1DC2" w:rsidRPr="00116D0B" w:rsidRDefault="003A1DC2" w:rsidP="003A1DC2">
            <w:pPr>
              <w:jc w:val="both"/>
              <w:rPr>
                <w:rFonts w:ascii="Garamond" w:hAnsi="Garamond" w:cs="Calibri"/>
                <w:color w:val="000000"/>
                <w:sz w:val="24"/>
                <w:szCs w:val="24"/>
                <w:lang w:eastAsia="zh-CN"/>
              </w:rPr>
            </w:pPr>
          </w:p>
        </w:tc>
        <w:tc>
          <w:tcPr>
            <w:tcW w:w="1885" w:type="dxa"/>
            <w:noWrap/>
          </w:tcPr>
          <w:p w14:paraId="2F31DB95" w14:textId="77777777" w:rsidR="003A1DC2" w:rsidRPr="00116D0B" w:rsidRDefault="003A1DC2" w:rsidP="003A1DC2">
            <w:pPr>
              <w:jc w:val="both"/>
              <w:rPr>
                <w:rFonts w:ascii="Garamond" w:hAnsi="Garamond" w:cs="Calibri"/>
                <w:color w:val="000000"/>
                <w:sz w:val="24"/>
                <w:szCs w:val="24"/>
                <w:lang w:eastAsia="zh-CN"/>
              </w:rPr>
            </w:pPr>
          </w:p>
        </w:tc>
        <w:tc>
          <w:tcPr>
            <w:tcW w:w="1880" w:type="dxa"/>
          </w:tcPr>
          <w:p w14:paraId="26C1A870"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tcPr>
          <w:p w14:paraId="6E67AB33"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22CA9496" w14:textId="77777777" w:rsidTr="00F51140">
        <w:trPr>
          <w:trHeight w:val="285"/>
        </w:trPr>
        <w:tc>
          <w:tcPr>
            <w:tcW w:w="2997" w:type="dxa"/>
          </w:tcPr>
          <w:p w14:paraId="4C51D4F6"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 xml:space="preserve">Michika ii </w:t>
            </w:r>
          </w:p>
        </w:tc>
        <w:tc>
          <w:tcPr>
            <w:tcW w:w="1418" w:type="dxa"/>
            <w:noWrap/>
            <w:hideMark/>
          </w:tcPr>
          <w:p w14:paraId="7A63B9EE"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5EE0D41F"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7236A26B"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3501D80F"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44639B61" w14:textId="77777777" w:rsidTr="00F51140">
        <w:trPr>
          <w:trHeight w:val="285"/>
        </w:trPr>
        <w:tc>
          <w:tcPr>
            <w:tcW w:w="2997" w:type="dxa"/>
          </w:tcPr>
          <w:p w14:paraId="50B30FDD" w14:textId="77777777" w:rsidR="003A1DC2" w:rsidRPr="00116D0B" w:rsidRDefault="003A1DC2" w:rsidP="003A1DC2">
            <w:pPr>
              <w:jc w:val="both"/>
              <w:rPr>
                <w:rFonts w:ascii="Garamond" w:hAnsi="Garamond"/>
                <w:sz w:val="24"/>
                <w:szCs w:val="24"/>
              </w:rPr>
            </w:pPr>
            <w:proofErr w:type="spellStart"/>
            <w:r w:rsidRPr="00116D0B">
              <w:rPr>
                <w:rFonts w:ascii="Garamond" w:hAnsi="Garamond"/>
                <w:sz w:val="24"/>
                <w:szCs w:val="24"/>
              </w:rPr>
              <w:t>Minkisi</w:t>
            </w:r>
            <w:proofErr w:type="spellEnd"/>
            <w:r w:rsidRPr="00116D0B">
              <w:rPr>
                <w:rFonts w:ascii="Garamond" w:hAnsi="Garamond"/>
                <w:sz w:val="24"/>
                <w:szCs w:val="24"/>
              </w:rPr>
              <w:t xml:space="preserve">/ </w:t>
            </w:r>
            <w:proofErr w:type="spellStart"/>
            <w:r w:rsidRPr="00116D0B">
              <w:rPr>
                <w:rFonts w:ascii="Garamond" w:hAnsi="Garamond"/>
                <w:sz w:val="24"/>
                <w:szCs w:val="24"/>
              </w:rPr>
              <w:t>Wuro</w:t>
            </w:r>
            <w:proofErr w:type="spellEnd"/>
            <w:r w:rsidRPr="00116D0B">
              <w:rPr>
                <w:rFonts w:ascii="Garamond" w:hAnsi="Garamond"/>
                <w:sz w:val="24"/>
                <w:szCs w:val="24"/>
              </w:rPr>
              <w:t xml:space="preserve"> </w:t>
            </w:r>
            <w:proofErr w:type="spellStart"/>
            <w:r w:rsidRPr="00116D0B">
              <w:rPr>
                <w:rFonts w:ascii="Garamond" w:hAnsi="Garamond"/>
                <w:sz w:val="24"/>
                <w:szCs w:val="24"/>
              </w:rPr>
              <w:t>Ngik</w:t>
            </w:r>
            <w:proofErr w:type="spellEnd"/>
          </w:p>
        </w:tc>
        <w:tc>
          <w:tcPr>
            <w:tcW w:w="1418" w:type="dxa"/>
            <w:noWrap/>
          </w:tcPr>
          <w:p w14:paraId="0074752B" w14:textId="77777777" w:rsidR="003A1DC2" w:rsidRPr="00116D0B" w:rsidRDefault="003A1DC2" w:rsidP="003A1DC2">
            <w:pPr>
              <w:jc w:val="both"/>
              <w:rPr>
                <w:rFonts w:ascii="Garamond" w:hAnsi="Garamond" w:cs="Calibri"/>
                <w:color w:val="000000"/>
                <w:sz w:val="24"/>
                <w:szCs w:val="24"/>
                <w:lang w:eastAsia="zh-CN"/>
              </w:rPr>
            </w:pPr>
          </w:p>
        </w:tc>
        <w:tc>
          <w:tcPr>
            <w:tcW w:w="1885" w:type="dxa"/>
            <w:noWrap/>
          </w:tcPr>
          <w:p w14:paraId="0EBFAAF8" w14:textId="77777777" w:rsidR="003A1DC2" w:rsidRPr="00116D0B" w:rsidRDefault="003A1DC2" w:rsidP="003A1DC2">
            <w:pPr>
              <w:jc w:val="both"/>
              <w:rPr>
                <w:rFonts w:ascii="Garamond" w:hAnsi="Garamond" w:cs="Calibri"/>
                <w:color w:val="000000"/>
                <w:sz w:val="24"/>
                <w:szCs w:val="24"/>
                <w:lang w:eastAsia="zh-CN"/>
              </w:rPr>
            </w:pPr>
          </w:p>
        </w:tc>
        <w:tc>
          <w:tcPr>
            <w:tcW w:w="1880" w:type="dxa"/>
          </w:tcPr>
          <w:p w14:paraId="6A0EB659"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tcPr>
          <w:p w14:paraId="517659E6"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124F1869" w14:textId="77777777" w:rsidTr="00F51140">
        <w:trPr>
          <w:trHeight w:val="285"/>
        </w:trPr>
        <w:tc>
          <w:tcPr>
            <w:tcW w:w="2997" w:type="dxa"/>
          </w:tcPr>
          <w:p w14:paraId="3C4CB560" w14:textId="77777777" w:rsidR="003A1DC2" w:rsidRPr="00116D0B" w:rsidRDefault="003A1DC2" w:rsidP="003A1DC2">
            <w:pPr>
              <w:jc w:val="both"/>
              <w:rPr>
                <w:rFonts w:ascii="Garamond" w:hAnsi="Garamond" w:cs="Calibri"/>
                <w:color w:val="000000"/>
                <w:sz w:val="24"/>
                <w:szCs w:val="24"/>
                <w:lang w:eastAsia="zh-CN"/>
              </w:rPr>
            </w:pPr>
            <w:proofErr w:type="spellStart"/>
            <w:r w:rsidRPr="00116D0B">
              <w:rPr>
                <w:rFonts w:ascii="Garamond" w:hAnsi="Garamond"/>
                <w:sz w:val="24"/>
                <w:szCs w:val="24"/>
              </w:rPr>
              <w:t>Tumbara</w:t>
            </w:r>
            <w:proofErr w:type="spellEnd"/>
            <w:r w:rsidRPr="00116D0B">
              <w:rPr>
                <w:rFonts w:ascii="Garamond" w:hAnsi="Garamond"/>
                <w:sz w:val="24"/>
                <w:szCs w:val="24"/>
              </w:rPr>
              <w:t xml:space="preserve"> / </w:t>
            </w:r>
            <w:proofErr w:type="spellStart"/>
            <w:r w:rsidRPr="00116D0B">
              <w:rPr>
                <w:rFonts w:ascii="Garamond" w:hAnsi="Garamond"/>
                <w:sz w:val="24"/>
                <w:szCs w:val="24"/>
              </w:rPr>
              <w:t>Ngabili</w:t>
            </w:r>
            <w:proofErr w:type="spellEnd"/>
          </w:p>
        </w:tc>
        <w:tc>
          <w:tcPr>
            <w:tcW w:w="1418" w:type="dxa"/>
            <w:noWrap/>
            <w:hideMark/>
          </w:tcPr>
          <w:p w14:paraId="65D6F53F"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028B55C5"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36661EEA"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06BCC145"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79D285E5" w14:textId="77777777" w:rsidTr="00F51140">
        <w:trPr>
          <w:trHeight w:val="285"/>
        </w:trPr>
        <w:tc>
          <w:tcPr>
            <w:tcW w:w="2997" w:type="dxa"/>
          </w:tcPr>
          <w:p w14:paraId="7F682B4A" w14:textId="77777777" w:rsidR="003A1DC2" w:rsidRPr="00116D0B" w:rsidRDefault="003A1DC2" w:rsidP="003A1DC2">
            <w:pPr>
              <w:jc w:val="both"/>
              <w:rPr>
                <w:rFonts w:ascii="Garamond" w:hAnsi="Garamond" w:cs="Calibri"/>
                <w:color w:val="000000"/>
                <w:sz w:val="24"/>
                <w:szCs w:val="24"/>
                <w:lang w:eastAsia="zh-CN"/>
              </w:rPr>
            </w:pPr>
            <w:proofErr w:type="spellStart"/>
            <w:r w:rsidRPr="00116D0B">
              <w:rPr>
                <w:rFonts w:ascii="Garamond" w:hAnsi="Garamond"/>
                <w:sz w:val="24"/>
                <w:szCs w:val="24"/>
              </w:rPr>
              <w:t>Munkavicita</w:t>
            </w:r>
            <w:proofErr w:type="spellEnd"/>
          </w:p>
        </w:tc>
        <w:tc>
          <w:tcPr>
            <w:tcW w:w="1418" w:type="dxa"/>
            <w:noWrap/>
            <w:hideMark/>
          </w:tcPr>
          <w:p w14:paraId="5A51AA18"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09F7506F"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6FD57382"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6ABD437A"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6DE6C781" w14:textId="77777777" w:rsidTr="00F51140">
        <w:trPr>
          <w:trHeight w:val="389"/>
        </w:trPr>
        <w:tc>
          <w:tcPr>
            <w:tcW w:w="2997" w:type="dxa"/>
          </w:tcPr>
          <w:p w14:paraId="1C679595"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sz w:val="24"/>
                <w:szCs w:val="24"/>
              </w:rPr>
              <w:t>Sina/</w:t>
            </w:r>
            <w:proofErr w:type="spellStart"/>
            <w:r w:rsidRPr="00116D0B">
              <w:rPr>
                <w:rFonts w:ascii="Garamond" w:hAnsi="Garamond"/>
                <w:sz w:val="24"/>
                <w:szCs w:val="24"/>
              </w:rPr>
              <w:t>kamale</w:t>
            </w:r>
            <w:proofErr w:type="spellEnd"/>
            <w:r w:rsidRPr="00116D0B">
              <w:rPr>
                <w:rFonts w:ascii="Garamond" w:hAnsi="Garamond"/>
                <w:sz w:val="24"/>
                <w:szCs w:val="24"/>
              </w:rPr>
              <w:t>/</w:t>
            </w:r>
            <w:proofErr w:type="spellStart"/>
            <w:r w:rsidRPr="00116D0B">
              <w:rPr>
                <w:rFonts w:ascii="Garamond" w:hAnsi="Garamond"/>
                <w:sz w:val="24"/>
                <w:szCs w:val="24"/>
              </w:rPr>
              <w:t>Kwande</w:t>
            </w:r>
            <w:proofErr w:type="spellEnd"/>
          </w:p>
        </w:tc>
        <w:tc>
          <w:tcPr>
            <w:tcW w:w="1418" w:type="dxa"/>
            <w:noWrap/>
            <w:hideMark/>
          </w:tcPr>
          <w:p w14:paraId="4CE2447A"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1F69E3E0"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3C57BCE6"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0CF6AA0F"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7ED8186E" w14:textId="77777777" w:rsidTr="00F51140">
        <w:trPr>
          <w:trHeight w:val="191"/>
        </w:trPr>
        <w:tc>
          <w:tcPr>
            <w:tcW w:w="2997" w:type="dxa"/>
          </w:tcPr>
          <w:p w14:paraId="498099B2" w14:textId="77777777" w:rsidR="003A1DC2" w:rsidRPr="00116D0B" w:rsidRDefault="003A1DC2" w:rsidP="003A1DC2">
            <w:pPr>
              <w:jc w:val="both"/>
              <w:rPr>
                <w:rFonts w:ascii="Garamond" w:hAnsi="Garamond" w:cs="Calibri"/>
                <w:color w:val="000000"/>
                <w:sz w:val="24"/>
                <w:szCs w:val="24"/>
                <w:lang w:eastAsia="zh-CN"/>
              </w:rPr>
            </w:pPr>
            <w:proofErr w:type="spellStart"/>
            <w:r w:rsidRPr="00116D0B">
              <w:rPr>
                <w:rFonts w:ascii="Garamond" w:hAnsi="Garamond"/>
                <w:sz w:val="24"/>
                <w:szCs w:val="24"/>
              </w:rPr>
              <w:t>Wamblimi</w:t>
            </w:r>
            <w:proofErr w:type="spellEnd"/>
            <w:r w:rsidRPr="00116D0B">
              <w:rPr>
                <w:rFonts w:ascii="Garamond" w:hAnsi="Garamond"/>
                <w:sz w:val="24"/>
                <w:szCs w:val="24"/>
              </w:rPr>
              <w:t xml:space="preserve"> / Tilli</w:t>
            </w:r>
          </w:p>
        </w:tc>
        <w:tc>
          <w:tcPr>
            <w:tcW w:w="1418" w:type="dxa"/>
            <w:noWrap/>
            <w:hideMark/>
          </w:tcPr>
          <w:p w14:paraId="659528FD"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5" w:type="dxa"/>
            <w:noWrap/>
            <w:hideMark/>
          </w:tcPr>
          <w:p w14:paraId="26525E42"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880" w:type="dxa"/>
          </w:tcPr>
          <w:p w14:paraId="40F6D67B" w14:textId="77777777" w:rsidR="003A1DC2" w:rsidRPr="00116D0B" w:rsidRDefault="003A1DC2" w:rsidP="003A1DC2">
            <w:pPr>
              <w:jc w:val="both"/>
              <w:rPr>
                <w:rFonts w:ascii="Garamond" w:hAnsi="Garamond" w:cs="Calibri"/>
                <w:color w:val="000000"/>
                <w:sz w:val="24"/>
                <w:szCs w:val="24"/>
                <w:lang w:eastAsia="zh-CN"/>
              </w:rPr>
            </w:pPr>
            <w:r w:rsidRPr="00116D0B">
              <w:rPr>
                <w:rFonts w:ascii="Garamond" w:hAnsi="Garamond" w:cs="Calibri"/>
                <w:color w:val="000000"/>
                <w:sz w:val="24"/>
                <w:szCs w:val="24"/>
                <w:lang w:eastAsia="zh-CN"/>
              </w:rPr>
              <w:t>1</w:t>
            </w:r>
          </w:p>
        </w:tc>
        <w:tc>
          <w:tcPr>
            <w:tcW w:w="1121" w:type="dxa"/>
            <w:noWrap/>
            <w:hideMark/>
          </w:tcPr>
          <w:p w14:paraId="588EF19E" w14:textId="77777777" w:rsidR="003A1DC2" w:rsidRPr="00116D0B" w:rsidRDefault="003A1DC2" w:rsidP="003A1DC2">
            <w:pPr>
              <w:jc w:val="both"/>
              <w:rPr>
                <w:rFonts w:ascii="Garamond" w:hAnsi="Garamond"/>
                <w:sz w:val="24"/>
                <w:szCs w:val="24"/>
              </w:rPr>
            </w:pPr>
            <w:r w:rsidRPr="00116D0B">
              <w:rPr>
                <w:rFonts w:ascii="Garamond" w:hAnsi="Garamond" w:cs="Calibri"/>
                <w:color w:val="000000"/>
                <w:sz w:val="24"/>
                <w:szCs w:val="24"/>
                <w:lang w:eastAsia="zh-CN"/>
              </w:rPr>
              <w:t>3</w:t>
            </w:r>
          </w:p>
        </w:tc>
      </w:tr>
      <w:tr w:rsidR="003A1DC2" w:rsidRPr="00116D0B" w14:paraId="633393E3" w14:textId="77777777" w:rsidTr="00F51140">
        <w:trPr>
          <w:trHeight w:val="191"/>
        </w:trPr>
        <w:tc>
          <w:tcPr>
            <w:tcW w:w="2997" w:type="dxa"/>
          </w:tcPr>
          <w:p w14:paraId="432E3297" w14:textId="77777777" w:rsidR="003A1DC2" w:rsidRPr="00116D0B" w:rsidRDefault="003A1DC2" w:rsidP="003A1DC2">
            <w:pPr>
              <w:jc w:val="both"/>
              <w:rPr>
                <w:rFonts w:ascii="Garamond" w:hAnsi="Garamond"/>
                <w:b/>
                <w:sz w:val="24"/>
                <w:szCs w:val="24"/>
              </w:rPr>
            </w:pPr>
            <w:r w:rsidRPr="00116D0B">
              <w:rPr>
                <w:rFonts w:ascii="Garamond" w:hAnsi="Garamond"/>
                <w:b/>
                <w:sz w:val="24"/>
                <w:szCs w:val="24"/>
              </w:rPr>
              <w:t>Total</w:t>
            </w:r>
          </w:p>
        </w:tc>
        <w:tc>
          <w:tcPr>
            <w:tcW w:w="6304" w:type="dxa"/>
            <w:gridSpan w:val="4"/>
            <w:noWrap/>
          </w:tcPr>
          <w:p w14:paraId="5E57A3CB" w14:textId="77777777" w:rsidR="003A1DC2" w:rsidRPr="00116D0B" w:rsidRDefault="003A1DC2" w:rsidP="003A1DC2">
            <w:pPr>
              <w:jc w:val="center"/>
              <w:rPr>
                <w:rFonts w:ascii="Garamond" w:hAnsi="Garamond" w:cs="Calibri"/>
                <w:b/>
                <w:color w:val="000000"/>
                <w:sz w:val="24"/>
                <w:szCs w:val="24"/>
                <w:lang w:eastAsia="zh-CN"/>
              </w:rPr>
            </w:pPr>
            <w:r w:rsidRPr="00116D0B">
              <w:rPr>
                <w:rFonts w:ascii="Garamond" w:hAnsi="Garamond" w:cs="Calibri"/>
                <w:b/>
                <w:color w:val="000000"/>
                <w:sz w:val="24"/>
                <w:szCs w:val="24"/>
                <w:lang w:eastAsia="zh-CN"/>
              </w:rPr>
              <w:t>24</w:t>
            </w:r>
          </w:p>
        </w:tc>
      </w:tr>
    </w:tbl>
    <w:p w14:paraId="12EAF707" w14:textId="1734382F" w:rsidR="003D73E5" w:rsidRPr="00116D0B" w:rsidRDefault="003A1DC2" w:rsidP="00C3723C">
      <w:pPr>
        <w:pStyle w:val="Heading2"/>
        <w:rPr>
          <w:rFonts w:eastAsia="Malgun Gothic"/>
          <w:szCs w:val="24"/>
        </w:rPr>
      </w:pPr>
      <w:bookmarkStart w:id="52" w:name="_Toc166775417"/>
      <w:r w:rsidRPr="00116D0B">
        <w:rPr>
          <w:rFonts w:eastAsia="Malgun Gothic"/>
          <w:szCs w:val="24"/>
        </w:rPr>
        <w:t>3.3</w:t>
      </w:r>
      <w:r w:rsidRPr="00116D0B">
        <w:rPr>
          <w:rFonts w:eastAsia="Malgun Gothic"/>
          <w:szCs w:val="24"/>
        </w:rPr>
        <w:tab/>
      </w:r>
      <w:r w:rsidR="003D73E5" w:rsidRPr="00116D0B">
        <w:rPr>
          <w:rFonts w:eastAsia="Malgun Gothic"/>
          <w:szCs w:val="24"/>
        </w:rPr>
        <w:t>Quantitative Methods - Household Survey (HHS)</w:t>
      </w:r>
      <w:bookmarkEnd w:id="50"/>
      <w:bookmarkEnd w:id="52"/>
    </w:p>
    <w:p w14:paraId="5B1374E0" w14:textId="5C2990AA" w:rsidR="000E35C5" w:rsidRPr="00116D0B" w:rsidRDefault="003A1DC2" w:rsidP="000E35C5">
      <w:pPr>
        <w:spacing w:before="240" w:after="240" w:line="276" w:lineRule="auto"/>
        <w:jc w:val="both"/>
        <w:rPr>
          <w:rFonts w:ascii="Garamond" w:eastAsia="Malgun Gothic" w:hAnsi="Garamond" w:cs="Calibri"/>
          <w:bCs/>
          <w:sz w:val="24"/>
          <w:szCs w:val="24"/>
        </w:rPr>
      </w:pPr>
      <w:r w:rsidRPr="00116D0B">
        <w:rPr>
          <w:rFonts w:ascii="Garamond" w:eastAsia="Malgun Gothic" w:hAnsi="Garamond" w:cs="Calibri"/>
          <w:bCs/>
          <w:sz w:val="24"/>
          <w:szCs w:val="24"/>
        </w:rPr>
        <w:t xml:space="preserve">This involved </w:t>
      </w:r>
      <w:r w:rsidR="000E35C5" w:rsidRPr="00116D0B">
        <w:rPr>
          <w:rFonts w:ascii="Garamond" w:eastAsia="Malgun Gothic" w:hAnsi="Garamond" w:cs="Calibri"/>
          <w:bCs/>
          <w:sz w:val="24"/>
          <w:szCs w:val="24"/>
        </w:rPr>
        <w:t>the administration of questionnaires to community members (</w:t>
      </w:r>
      <w:r w:rsidRPr="00116D0B">
        <w:rPr>
          <w:rFonts w:ascii="Garamond" w:eastAsia="Malgun Gothic" w:hAnsi="Garamond" w:cs="Calibri"/>
          <w:bCs/>
          <w:sz w:val="24"/>
          <w:szCs w:val="24"/>
        </w:rPr>
        <w:t>project beneficiaries) which was</w:t>
      </w:r>
      <w:r w:rsidR="000E35C5" w:rsidRPr="00116D0B">
        <w:rPr>
          <w:rFonts w:ascii="Garamond" w:eastAsia="Malgun Gothic" w:hAnsi="Garamond" w:cs="Calibri"/>
          <w:bCs/>
          <w:sz w:val="24"/>
          <w:szCs w:val="24"/>
        </w:rPr>
        <w:t xml:space="preserve"> interpreted in local languages where necessary for eas</w:t>
      </w:r>
      <w:r w:rsidRPr="00116D0B">
        <w:rPr>
          <w:rFonts w:ascii="Garamond" w:eastAsia="Malgun Gothic" w:hAnsi="Garamond" w:cs="Calibri"/>
          <w:bCs/>
          <w:sz w:val="24"/>
          <w:szCs w:val="24"/>
        </w:rPr>
        <w:t xml:space="preserve">y communication. The </w:t>
      </w:r>
      <w:r w:rsidR="000E35C5" w:rsidRPr="00116D0B">
        <w:rPr>
          <w:rFonts w:ascii="Garamond" w:eastAsia="Malgun Gothic" w:hAnsi="Garamond" w:cs="Calibri"/>
          <w:bCs/>
          <w:sz w:val="24"/>
          <w:szCs w:val="24"/>
        </w:rPr>
        <w:t>survey quantitatively assess</w:t>
      </w:r>
      <w:r w:rsidRPr="00116D0B">
        <w:rPr>
          <w:rFonts w:ascii="Garamond" w:eastAsia="Malgun Gothic" w:hAnsi="Garamond" w:cs="Calibri"/>
          <w:bCs/>
          <w:sz w:val="24"/>
          <w:szCs w:val="24"/>
        </w:rPr>
        <w:t>ed</w:t>
      </w:r>
      <w:r w:rsidR="000E35C5" w:rsidRPr="00116D0B">
        <w:rPr>
          <w:rFonts w:ascii="Garamond" w:eastAsia="Malgun Gothic" w:hAnsi="Garamond" w:cs="Calibri"/>
          <w:bCs/>
          <w:sz w:val="24"/>
          <w:szCs w:val="24"/>
        </w:rPr>
        <w:t xml:space="preserve"> the perceived impact of the intervention, providing valuable quantifiable data for </w:t>
      </w:r>
      <w:r w:rsidRPr="00116D0B">
        <w:rPr>
          <w:rFonts w:ascii="Garamond" w:eastAsia="Malgun Gothic" w:hAnsi="Garamond" w:cs="Calibri"/>
          <w:bCs/>
          <w:sz w:val="24"/>
          <w:szCs w:val="24"/>
        </w:rPr>
        <w:t>the</w:t>
      </w:r>
      <w:r w:rsidR="000E35C5" w:rsidRPr="00116D0B">
        <w:rPr>
          <w:rFonts w:ascii="Garamond" w:eastAsia="Malgun Gothic" w:hAnsi="Garamond" w:cs="Calibri"/>
          <w:bCs/>
          <w:sz w:val="24"/>
          <w:szCs w:val="24"/>
        </w:rPr>
        <w:t xml:space="preserve"> evaluation. </w:t>
      </w:r>
    </w:p>
    <w:p w14:paraId="76360878" w14:textId="6BB55516" w:rsidR="006158DB" w:rsidRPr="00116D0B" w:rsidRDefault="000E35C5" w:rsidP="006158DB">
      <w:pPr>
        <w:spacing w:before="240" w:after="240" w:line="276" w:lineRule="auto"/>
        <w:jc w:val="both"/>
        <w:rPr>
          <w:rFonts w:ascii="Garamond" w:eastAsia="Malgun Gothic" w:hAnsi="Garamond"/>
          <w:sz w:val="24"/>
          <w:szCs w:val="24"/>
        </w:rPr>
      </w:pPr>
      <w:r w:rsidRPr="00116D0B">
        <w:rPr>
          <w:rFonts w:ascii="Garamond" w:eastAsia="Malgun Gothic" w:hAnsi="Garamond"/>
          <w:b/>
          <w:sz w:val="24"/>
          <w:szCs w:val="24"/>
        </w:rPr>
        <w:t>Sampling Design:</w:t>
      </w:r>
      <w:r w:rsidRPr="00116D0B">
        <w:rPr>
          <w:rFonts w:ascii="Garamond" w:eastAsia="Malgun Gothic" w:hAnsi="Garamond"/>
          <w:sz w:val="24"/>
          <w:szCs w:val="24"/>
        </w:rPr>
        <w:t xml:space="preserve"> </w:t>
      </w:r>
      <w:r w:rsidR="003A1DC2" w:rsidRPr="00116D0B">
        <w:rPr>
          <w:rFonts w:ascii="Garamond" w:eastAsia="Malgun Gothic" w:hAnsi="Garamond"/>
          <w:sz w:val="24"/>
          <w:szCs w:val="24"/>
        </w:rPr>
        <w:t xml:space="preserve">The study </w:t>
      </w:r>
      <w:r w:rsidR="006158DB" w:rsidRPr="00116D0B">
        <w:rPr>
          <w:rFonts w:ascii="Garamond" w:eastAsia="Malgun Gothic" w:hAnsi="Garamond"/>
          <w:sz w:val="24"/>
          <w:szCs w:val="24"/>
        </w:rPr>
        <w:t>employ</w:t>
      </w:r>
      <w:r w:rsidR="003A1DC2" w:rsidRPr="00116D0B">
        <w:rPr>
          <w:rFonts w:ascii="Garamond" w:eastAsia="Malgun Gothic" w:hAnsi="Garamond"/>
          <w:sz w:val="24"/>
          <w:szCs w:val="24"/>
        </w:rPr>
        <w:t>ed</w:t>
      </w:r>
      <w:r w:rsidR="006158DB" w:rsidRPr="00116D0B">
        <w:rPr>
          <w:rFonts w:ascii="Garamond" w:eastAsia="Malgun Gothic" w:hAnsi="Garamond"/>
          <w:sz w:val="24"/>
          <w:szCs w:val="24"/>
        </w:rPr>
        <w:t xml:space="preserve"> a multi-stage cluster sampling technique. Initially, the 16 wards within Michika LGA were categorized into two clusters: urban/peri-urban and rural. From </w:t>
      </w:r>
      <w:r w:rsidR="003A1DC2" w:rsidRPr="00116D0B">
        <w:rPr>
          <w:rFonts w:ascii="Garamond" w:eastAsia="Malgun Gothic" w:hAnsi="Garamond"/>
          <w:sz w:val="24"/>
          <w:szCs w:val="24"/>
        </w:rPr>
        <w:t>each cluster, four wards were</w:t>
      </w:r>
      <w:r w:rsidR="006158DB" w:rsidRPr="00116D0B">
        <w:rPr>
          <w:rFonts w:ascii="Garamond" w:eastAsia="Malgun Gothic" w:hAnsi="Garamond"/>
          <w:sz w:val="24"/>
          <w:szCs w:val="24"/>
        </w:rPr>
        <w:t xml:space="preserve"> randomly chosen, resulting in a total of eight selected wards for the </w:t>
      </w:r>
      <w:r w:rsidR="003A1DC2" w:rsidRPr="00116D0B">
        <w:rPr>
          <w:rFonts w:ascii="Garamond" w:eastAsia="Malgun Gothic" w:hAnsi="Garamond"/>
          <w:sz w:val="24"/>
          <w:szCs w:val="24"/>
        </w:rPr>
        <w:t>survey. This first stage ensured</w:t>
      </w:r>
      <w:r w:rsidR="006158DB" w:rsidRPr="00116D0B">
        <w:rPr>
          <w:rFonts w:ascii="Garamond" w:eastAsia="Malgun Gothic" w:hAnsi="Garamond"/>
          <w:sz w:val="24"/>
          <w:szCs w:val="24"/>
        </w:rPr>
        <w:t xml:space="preserve"> representation from both urban/peri-urban and rural areas within the LGA. Subsequently, within </w:t>
      </w:r>
      <w:r w:rsidR="006158DB" w:rsidRPr="00116D0B">
        <w:rPr>
          <w:rFonts w:ascii="Garamond" w:eastAsia="Malgun Gothic" w:hAnsi="Garamond"/>
          <w:sz w:val="24"/>
          <w:szCs w:val="24"/>
        </w:rPr>
        <w:lastRenderedPageBreak/>
        <w:t>each of the eight selected wards</w:t>
      </w:r>
      <w:r w:rsidR="003A1DC2" w:rsidRPr="00116D0B">
        <w:rPr>
          <w:rFonts w:ascii="Garamond" w:eastAsia="Malgun Gothic" w:hAnsi="Garamond"/>
          <w:sz w:val="24"/>
          <w:szCs w:val="24"/>
        </w:rPr>
        <w:t>, households or individuals were</w:t>
      </w:r>
      <w:r w:rsidR="006158DB" w:rsidRPr="00116D0B">
        <w:rPr>
          <w:rFonts w:ascii="Garamond" w:eastAsia="Malgun Gothic" w:hAnsi="Garamond"/>
          <w:sz w:val="24"/>
          <w:szCs w:val="24"/>
        </w:rPr>
        <w:t xml:space="preserve"> randomly sampled for participation in the </w:t>
      </w:r>
      <w:r w:rsidR="003A1DC2" w:rsidRPr="00116D0B">
        <w:rPr>
          <w:rFonts w:ascii="Garamond" w:eastAsia="Malgun Gothic" w:hAnsi="Garamond"/>
          <w:sz w:val="24"/>
          <w:szCs w:val="24"/>
        </w:rPr>
        <w:t>survey</w:t>
      </w:r>
      <w:r w:rsidR="006158DB" w:rsidRPr="00116D0B">
        <w:rPr>
          <w:rFonts w:ascii="Garamond" w:eastAsia="Malgun Gothic" w:hAnsi="Garamond"/>
          <w:sz w:val="24"/>
          <w:szCs w:val="24"/>
        </w:rPr>
        <w:t xml:space="preserve">. </w:t>
      </w:r>
    </w:p>
    <w:p w14:paraId="0F87001B" w14:textId="57C168E9" w:rsidR="006158DB" w:rsidRPr="00116D0B" w:rsidRDefault="006158DB" w:rsidP="006158DB">
      <w:pPr>
        <w:spacing w:before="240" w:after="240" w:line="276" w:lineRule="auto"/>
        <w:jc w:val="both"/>
        <w:rPr>
          <w:rFonts w:ascii="Garamond" w:eastAsia="Malgun Gothic" w:hAnsi="Garamond"/>
          <w:sz w:val="24"/>
          <w:szCs w:val="24"/>
        </w:rPr>
      </w:pPr>
      <w:r w:rsidRPr="00116D0B">
        <w:rPr>
          <w:rFonts w:ascii="Garamond" w:eastAsia="Malgun Gothic" w:hAnsi="Garamond"/>
          <w:b/>
          <w:sz w:val="24"/>
          <w:szCs w:val="24"/>
        </w:rPr>
        <w:t>Ward Selection</w:t>
      </w:r>
      <w:r w:rsidR="003A1DC2" w:rsidRPr="00116D0B">
        <w:rPr>
          <w:rFonts w:ascii="Garamond" w:eastAsia="Malgun Gothic" w:hAnsi="Garamond"/>
          <w:b/>
          <w:sz w:val="24"/>
          <w:szCs w:val="24"/>
        </w:rPr>
        <w:t xml:space="preserve">: </w:t>
      </w:r>
      <w:r w:rsidRPr="00116D0B">
        <w:rPr>
          <w:rFonts w:ascii="Garamond" w:eastAsia="Malgun Gothic" w:hAnsi="Garamond"/>
          <w:sz w:val="24"/>
          <w:szCs w:val="24"/>
        </w:rPr>
        <w:t>The study assigned numbers to the 16 wards within Michika LGA.</w:t>
      </w:r>
      <w:r w:rsidRPr="00116D0B">
        <w:rPr>
          <w:rFonts w:ascii="Garamond" w:hAnsi="Garamond"/>
          <w:sz w:val="24"/>
          <w:szCs w:val="24"/>
        </w:rPr>
        <w:t xml:space="preserve"> </w:t>
      </w:r>
      <w:r w:rsidRPr="00116D0B">
        <w:rPr>
          <w:rFonts w:ascii="Garamond" w:eastAsia="Malgun Gothic" w:hAnsi="Garamond"/>
          <w:sz w:val="24"/>
          <w:szCs w:val="24"/>
        </w:rPr>
        <w:t>Numbers 1 through 6 were assigned to the urban/peri-urban cluster, while numbers 7 through 16 were designated to the rural clusters within Michika LGA. With this division in place, the study then proceeded to use a random number generator to select wards from each cluster.</w:t>
      </w:r>
    </w:p>
    <w:p w14:paraId="75DC44FD" w14:textId="14B03B11" w:rsidR="00327AF1" w:rsidRPr="00116D0B" w:rsidRDefault="007175F9" w:rsidP="00327AF1">
      <w:pPr>
        <w:spacing w:before="240" w:after="240" w:line="276" w:lineRule="auto"/>
        <w:jc w:val="both"/>
        <w:rPr>
          <w:rFonts w:ascii="Garamond" w:eastAsia="Malgun Gothic" w:hAnsi="Garamond"/>
          <w:sz w:val="24"/>
          <w:szCs w:val="24"/>
        </w:rPr>
      </w:pPr>
      <w:r w:rsidRPr="00116D0B">
        <w:rPr>
          <w:rFonts w:ascii="Garamond" w:eastAsia="Malgun Gothic" w:hAnsi="Garamond"/>
          <w:sz w:val="24"/>
          <w:szCs w:val="24"/>
        </w:rPr>
        <w:t>For the urban/peri-urban cluster, t</w:t>
      </w:r>
      <w:r w:rsidR="006158DB" w:rsidRPr="00116D0B">
        <w:rPr>
          <w:rFonts w:ascii="Garamond" w:eastAsia="Malgun Gothic" w:hAnsi="Garamond"/>
          <w:sz w:val="24"/>
          <w:szCs w:val="24"/>
        </w:rPr>
        <w:t xml:space="preserve">he randomly generated numbers were 2, 4, 5, and 6. These numbers corresponded to the wards Michika (II), </w:t>
      </w:r>
      <w:proofErr w:type="spellStart"/>
      <w:r w:rsidR="006158DB" w:rsidRPr="00116D0B">
        <w:rPr>
          <w:rFonts w:ascii="Garamond" w:eastAsia="Malgun Gothic" w:hAnsi="Garamond"/>
          <w:sz w:val="24"/>
          <w:szCs w:val="24"/>
        </w:rPr>
        <w:t>Minkisi</w:t>
      </w:r>
      <w:proofErr w:type="spellEnd"/>
      <w:r w:rsidR="006158DB" w:rsidRPr="00116D0B">
        <w:rPr>
          <w:rFonts w:ascii="Garamond" w:eastAsia="Malgun Gothic" w:hAnsi="Garamond"/>
          <w:sz w:val="24"/>
          <w:szCs w:val="24"/>
        </w:rPr>
        <w:t xml:space="preserve"> </w:t>
      </w:r>
      <w:proofErr w:type="spellStart"/>
      <w:r w:rsidR="006158DB" w:rsidRPr="00116D0B">
        <w:rPr>
          <w:rFonts w:ascii="Garamond" w:eastAsia="Malgun Gothic" w:hAnsi="Garamond"/>
          <w:sz w:val="24"/>
          <w:szCs w:val="24"/>
        </w:rPr>
        <w:t>Wuro</w:t>
      </w:r>
      <w:proofErr w:type="spellEnd"/>
      <w:r w:rsidR="006158DB" w:rsidRPr="00116D0B">
        <w:rPr>
          <w:rFonts w:ascii="Garamond" w:eastAsia="Malgun Gothic" w:hAnsi="Garamond"/>
          <w:sz w:val="24"/>
          <w:szCs w:val="24"/>
        </w:rPr>
        <w:t xml:space="preserve"> Ngiki, </w:t>
      </w:r>
      <w:proofErr w:type="spellStart"/>
      <w:r w:rsidR="006158DB" w:rsidRPr="00116D0B">
        <w:rPr>
          <w:rFonts w:ascii="Garamond" w:eastAsia="Malgun Gothic" w:hAnsi="Garamond"/>
          <w:sz w:val="24"/>
          <w:szCs w:val="24"/>
        </w:rPr>
        <w:t>Wambilimi</w:t>
      </w:r>
      <w:proofErr w:type="spellEnd"/>
      <w:r w:rsidR="006158DB" w:rsidRPr="00116D0B">
        <w:rPr>
          <w:rFonts w:ascii="Garamond" w:eastAsia="Malgun Gothic" w:hAnsi="Garamond"/>
          <w:sz w:val="24"/>
          <w:szCs w:val="24"/>
        </w:rPr>
        <w:t xml:space="preserve"> Tilli, and Madzi, respectively.</w:t>
      </w:r>
      <w:r w:rsidR="00327AF1" w:rsidRPr="00116D0B">
        <w:rPr>
          <w:rFonts w:ascii="Garamond" w:hAnsi="Garamond"/>
          <w:sz w:val="24"/>
          <w:szCs w:val="24"/>
        </w:rPr>
        <w:t xml:space="preserve"> </w:t>
      </w:r>
      <w:r w:rsidR="00327AF1" w:rsidRPr="00116D0B">
        <w:rPr>
          <w:rFonts w:ascii="Garamond" w:eastAsia="Malgun Gothic" w:hAnsi="Garamond"/>
          <w:sz w:val="24"/>
          <w:szCs w:val="24"/>
        </w:rPr>
        <w:t xml:space="preserve">The randomly generated numbers were 2, 4, 5, and 6. These numbers corresponded to the wards Michika (II), </w:t>
      </w:r>
      <w:proofErr w:type="spellStart"/>
      <w:r w:rsidR="00327AF1" w:rsidRPr="00116D0B">
        <w:rPr>
          <w:rFonts w:ascii="Garamond" w:eastAsia="Malgun Gothic" w:hAnsi="Garamond"/>
          <w:sz w:val="24"/>
          <w:szCs w:val="24"/>
        </w:rPr>
        <w:t>Minkisi</w:t>
      </w:r>
      <w:proofErr w:type="spellEnd"/>
      <w:r w:rsidR="00327AF1" w:rsidRPr="00116D0B">
        <w:rPr>
          <w:rFonts w:ascii="Garamond" w:eastAsia="Malgun Gothic" w:hAnsi="Garamond"/>
          <w:sz w:val="24"/>
          <w:szCs w:val="24"/>
        </w:rPr>
        <w:t xml:space="preserve"> </w:t>
      </w:r>
      <w:proofErr w:type="spellStart"/>
      <w:r w:rsidR="00327AF1" w:rsidRPr="00116D0B">
        <w:rPr>
          <w:rFonts w:ascii="Garamond" w:eastAsia="Malgun Gothic" w:hAnsi="Garamond"/>
          <w:sz w:val="24"/>
          <w:szCs w:val="24"/>
        </w:rPr>
        <w:t>Wuro</w:t>
      </w:r>
      <w:proofErr w:type="spellEnd"/>
      <w:r w:rsidR="00327AF1" w:rsidRPr="00116D0B">
        <w:rPr>
          <w:rFonts w:ascii="Garamond" w:eastAsia="Malgun Gothic" w:hAnsi="Garamond"/>
          <w:sz w:val="24"/>
          <w:szCs w:val="24"/>
        </w:rPr>
        <w:t xml:space="preserve"> Ngiki, </w:t>
      </w:r>
      <w:proofErr w:type="spellStart"/>
      <w:r w:rsidR="00327AF1" w:rsidRPr="00116D0B">
        <w:rPr>
          <w:rFonts w:ascii="Garamond" w:eastAsia="Malgun Gothic" w:hAnsi="Garamond"/>
          <w:sz w:val="24"/>
          <w:szCs w:val="24"/>
        </w:rPr>
        <w:t>Wambilimi</w:t>
      </w:r>
      <w:proofErr w:type="spellEnd"/>
      <w:r w:rsidR="00327AF1" w:rsidRPr="00116D0B">
        <w:rPr>
          <w:rFonts w:ascii="Garamond" w:eastAsia="Malgun Gothic" w:hAnsi="Garamond"/>
          <w:sz w:val="24"/>
          <w:szCs w:val="24"/>
        </w:rPr>
        <w:t xml:space="preserve"> Tilli, and Madzi, respectively.</w:t>
      </w:r>
    </w:p>
    <w:p w14:paraId="127A9BD8" w14:textId="77777777" w:rsidR="00327AF1" w:rsidRPr="00116D0B" w:rsidRDefault="00327AF1" w:rsidP="00327AF1">
      <w:pPr>
        <w:spacing w:before="240" w:after="240" w:line="276" w:lineRule="auto"/>
        <w:jc w:val="both"/>
        <w:rPr>
          <w:rFonts w:ascii="Garamond" w:eastAsia="Malgun Gothic" w:hAnsi="Garamond"/>
          <w:sz w:val="24"/>
          <w:szCs w:val="24"/>
        </w:rPr>
      </w:pPr>
      <w:r w:rsidRPr="00116D0B">
        <w:rPr>
          <w:rFonts w:ascii="Garamond" w:eastAsia="Malgun Gothic" w:hAnsi="Garamond"/>
          <w:sz w:val="24"/>
          <w:szCs w:val="24"/>
        </w:rPr>
        <w:t xml:space="preserve">Using the same method, we randomly selected 4 wards from the Rural Cluster. The generated numbers were 9, 11, 12, and 15, which corresponded to the wards </w:t>
      </w:r>
      <w:proofErr w:type="spellStart"/>
      <w:r w:rsidRPr="00116D0B">
        <w:rPr>
          <w:rFonts w:ascii="Garamond" w:eastAsia="Malgun Gothic" w:hAnsi="Garamond"/>
          <w:sz w:val="24"/>
          <w:szCs w:val="24"/>
        </w:rPr>
        <w:t>Garta</w:t>
      </w:r>
      <w:proofErr w:type="spellEnd"/>
      <w:r w:rsidRPr="00116D0B">
        <w:rPr>
          <w:rFonts w:ascii="Garamond" w:eastAsia="Malgun Gothic" w:hAnsi="Garamond"/>
          <w:sz w:val="24"/>
          <w:szCs w:val="24"/>
        </w:rPr>
        <w:t>/</w:t>
      </w:r>
      <w:proofErr w:type="spellStart"/>
      <w:r w:rsidRPr="00116D0B">
        <w:rPr>
          <w:rFonts w:ascii="Garamond" w:eastAsia="Malgun Gothic" w:hAnsi="Garamond"/>
          <w:sz w:val="24"/>
          <w:szCs w:val="24"/>
        </w:rPr>
        <w:t>Ghunchi</w:t>
      </w:r>
      <w:proofErr w:type="spellEnd"/>
      <w:r w:rsidRPr="00116D0B">
        <w:rPr>
          <w:rFonts w:ascii="Garamond" w:eastAsia="Malgun Gothic" w:hAnsi="Garamond"/>
          <w:sz w:val="24"/>
          <w:szCs w:val="24"/>
        </w:rPr>
        <w:t xml:space="preserve">, </w:t>
      </w:r>
      <w:proofErr w:type="spellStart"/>
      <w:r w:rsidRPr="00116D0B">
        <w:rPr>
          <w:rFonts w:ascii="Garamond" w:eastAsia="Malgun Gothic" w:hAnsi="Garamond"/>
          <w:sz w:val="24"/>
          <w:szCs w:val="24"/>
        </w:rPr>
        <w:t>Munkavicita</w:t>
      </w:r>
      <w:proofErr w:type="spellEnd"/>
      <w:r w:rsidRPr="00116D0B">
        <w:rPr>
          <w:rFonts w:ascii="Garamond" w:eastAsia="Malgun Gothic" w:hAnsi="Garamond"/>
          <w:sz w:val="24"/>
          <w:szCs w:val="24"/>
        </w:rPr>
        <w:t>, Sina/Kamale/</w:t>
      </w:r>
      <w:proofErr w:type="spellStart"/>
      <w:r w:rsidRPr="00116D0B">
        <w:rPr>
          <w:rFonts w:ascii="Garamond" w:eastAsia="Malgun Gothic" w:hAnsi="Garamond"/>
          <w:sz w:val="24"/>
          <w:szCs w:val="24"/>
        </w:rPr>
        <w:t>Kwande</w:t>
      </w:r>
      <w:proofErr w:type="spellEnd"/>
      <w:r w:rsidRPr="00116D0B">
        <w:rPr>
          <w:rFonts w:ascii="Garamond" w:eastAsia="Malgun Gothic" w:hAnsi="Garamond"/>
          <w:sz w:val="24"/>
          <w:szCs w:val="24"/>
        </w:rPr>
        <w:t xml:space="preserve">, and </w:t>
      </w:r>
      <w:proofErr w:type="spellStart"/>
      <w:r w:rsidRPr="00116D0B">
        <w:rPr>
          <w:rFonts w:ascii="Garamond" w:eastAsia="Malgun Gothic" w:hAnsi="Garamond"/>
          <w:sz w:val="24"/>
          <w:szCs w:val="24"/>
        </w:rPr>
        <w:t>Tumbara</w:t>
      </w:r>
      <w:proofErr w:type="spellEnd"/>
      <w:r w:rsidRPr="00116D0B">
        <w:rPr>
          <w:rFonts w:ascii="Garamond" w:eastAsia="Malgun Gothic" w:hAnsi="Garamond"/>
          <w:sz w:val="24"/>
          <w:szCs w:val="24"/>
        </w:rPr>
        <w:t>/</w:t>
      </w:r>
      <w:proofErr w:type="spellStart"/>
      <w:r w:rsidRPr="00116D0B">
        <w:rPr>
          <w:rFonts w:ascii="Garamond" w:eastAsia="Malgun Gothic" w:hAnsi="Garamond"/>
          <w:sz w:val="24"/>
          <w:szCs w:val="24"/>
        </w:rPr>
        <w:t>Ngabili</w:t>
      </w:r>
      <w:proofErr w:type="spellEnd"/>
      <w:r w:rsidRPr="00116D0B">
        <w:rPr>
          <w:rFonts w:ascii="Garamond" w:eastAsia="Malgun Gothic" w:hAnsi="Garamond"/>
          <w:sz w:val="24"/>
          <w:szCs w:val="24"/>
        </w:rPr>
        <w:t>, respectively.</w:t>
      </w:r>
    </w:p>
    <w:p w14:paraId="5DA18F11" w14:textId="3B85BED6" w:rsidR="000E35C5" w:rsidRPr="00116D0B" w:rsidRDefault="000E35C5" w:rsidP="000E35C5">
      <w:pPr>
        <w:spacing w:before="240" w:after="240" w:line="276" w:lineRule="auto"/>
        <w:jc w:val="both"/>
        <w:rPr>
          <w:rFonts w:ascii="Garamond" w:eastAsia="Malgun Gothic" w:hAnsi="Garamond" w:cs="Calibri"/>
          <w:sz w:val="24"/>
          <w:szCs w:val="24"/>
        </w:rPr>
      </w:pPr>
      <w:r w:rsidRPr="00116D0B">
        <w:rPr>
          <w:rFonts w:ascii="Garamond" w:eastAsia="Malgun Gothic" w:hAnsi="Garamond" w:cs="Calibri"/>
          <w:b/>
          <w:sz w:val="24"/>
          <w:szCs w:val="24"/>
        </w:rPr>
        <w:t>Survey Respondent</w:t>
      </w:r>
      <w:r w:rsidR="003A1DC2" w:rsidRPr="00116D0B">
        <w:rPr>
          <w:rFonts w:ascii="Garamond" w:eastAsia="Malgun Gothic" w:hAnsi="Garamond" w:cs="Calibri"/>
          <w:b/>
          <w:sz w:val="24"/>
          <w:szCs w:val="24"/>
        </w:rPr>
        <w:t xml:space="preserve">s: </w:t>
      </w:r>
      <w:r w:rsidRPr="00116D0B">
        <w:rPr>
          <w:rFonts w:ascii="Garamond" w:eastAsia="Malgun Gothic" w:hAnsi="Garamond" w:cs="Calibri"/>
          <w:sz w:val="24"/>
          <w:szCs w:val="24"/>
        </w:rPr>
        <w:t xml:space="preserve">The survey respondents </w:t>
      </w:r>
      <w:r w:rsidR="003A1DC2" w:rsidRPr="00116D0B">
        <w:rPr>
          <w:rFonts w:ascii="Garamond" w:eastAsia="Malgun Gothic" w:hAnsi="Garamond" w:cs="Calibri"/>
          <w:sz w:val="24"/>
          <w:szCs w:val="24"/>
        </w:rPr>
        <w:t>were</w:t>
      </w:r>
      <w:r w:rsidRPr="00116D0B">
        <w:rPr>
          <w:rFonts w:ascii="Garamond" w:eastAsia="Malgun Gothic" w:hAnsi="Garamond" w:cs="Calibri"/>
          <w:sz w:val="24"/>
          <w:szCs w:val="24"/>
        </w:rPr>
        <w:t xml:space="preserve"> project </w:t>
      </w:r>
      <w:r w:rsidR="003A1DC2" w:rsidRPr="00116D0B">
        <w:rPr>
          <w:rFonts w:ascii="Garamond" w:eastAsia="Malgun Gothic" w:hAnsi="Garamond" w:cs="Calibri"/>
          <w:sz w:val="24"/>
          <w:szCs w:val="24"/>
        </w:rPr>
        <w:t>participants</w:t>
      </w:r>
      <w:r w:rsidRPr="00116D0B">
        <w:rPr>
          <w:rFonts w:ascii="Garamond" w:eastAsia="Malgun Gothic" w:hAnsi="Garamond" w:cs="Calibri"/>
          <w:sz w:val="24"/>
          <w:szCs w:val="24"/>
        </w:rPr>
        <w:t xml:space="preserve">, both male and female. The inclusion of both male and female respondents </w:t>
      </w:r>
      <w:r w:rsidR="000F2DFD">
        <w:rPr>
          <w:rFonts w:ascii="Garamond" w:eastAsia="Malgun Gothic" w:hAnsi="Garamond" w:cs="Calibri"/>
          <w:sz w:val="24"/>
          <w:szCs w:val="24"/>
        </w:rPr>
        <w:t>was</w:t>
      </w:r>
      <w:r w:rsidRPr="00116D0B">
        <w:rPr>
          <w:rFonts w:ascii="Garamond" w:eastAsia="Malgun Gothic" w:hAnsi="Garamond" w:cs="Calibri"/>
          <w:sz w:val="24"/>
          <w:szCs w:val="24"/>
        </w:rPr>
        <w:t xml:space="preserve"> essential in obtaining a complete picture of the current situation in the targeted communities</w:t>
      </w:r>
      <w:r w:rsidR="003A1DC2" w:rsidRPr="00116D0B">
        <w:rPr>
          <w:rFonts w:ascii="Garamond" w:eastAsia="Malgun Gothic" w:hAnsi="Garamond" w:cs="Calibri"/>
          <w:sz w:val="24"/>
          <w:szCs w:val="24"/>
        </w:rPr>
        <w:t>.</w:t>
      </w:r>
      <w:r w:rsidR="003D73E5" w:rsidRPr="00116D0B">
        <w:rPr>
          <w:rFonts w:ascii="Garamond" w:eastAsia="Malgun Gothic" w:hAnsi="Garamond" w:cs="Calibri"/>
          <w:sz w:val="24"/>
          <w:szCs w:val="24"/>
        </w:rPr>
        <w:t xml:space="preserve"> </w:t>
      </w:r>
    </w:p>
    <w:p w14:paraId="653BDF22" w14:textId="68EC846C" w:rsidR="000E35C5" w:rsidRPr="00116D0B" w:rsidRDefault="000E35C5" w:rsidP="000E35C5">
      <w:pPr>
        <w:spacing w:before="240" w:after="240" w:line="276" w:lineRule="auto"/>
        <w:jc w:val="both"/>
        <w:rPr>
          <w:rFonts w:ascii="Garamond" w:eastAsia="Calibri" w:hAnsi="Garamond" w:cs="Calibri"/>
          <w:bCs/>
          <w:sz w:val="24"/>
          <w:szCs w:val="24"/>
        </w:rPr>
      </w:pPr>
      <w:r w:rsidRPr="00116D0B">
        <w:rPr>
          <w:rFonts w:ascii="Garamond" w:eastAsia="Malgun Gothic" w:hAnsi="Garamond" w:cs="Calibri"/>
          <w:b/>
          <w:sz w:val="24"/>
          <w:szCs w:val="24"/>
        </w:rPr>
        <w:t>Sample Size</w:t>
      </w:r>
      <w:r w:rsidR="003A1DC2" w:rsidRPr="00116D0B">
        <w:rPr>
          <w:rFonts w:ascii="Garamond" w:eastAsia="Malgun Gothic" w:hAnsi="Garamond" w:cs="Calibri"/>
          <w:b/>
          <w:sz w:val="24"/>
          <w:szCs w:val="24"/>
        </w:rPr>
        <w:t xml:space="preserve">: </w:t>
      </w:r>
      <w:r w:rsidR="003A1DC2" w:rsidRPr="00116D0B">
        <w:rPr>
          <w:rFonts w:ascii="Garamond" w:eastAsia="Calibri" w:hAnsi="Garamond" w:cs="Calibri"/>
          <w:bCs/>
          <w:sz w:val="24"/>
          <w:szCs w:val="24"/>
        </w:rPr>
        <w:t>The sample size was</w:t>
      </w:r>
      <w:r w:rsidRPr="00116D0B">
        <w:rPr>
          <w:rFonts w:ascii="Garamond" w:eastAsia="Calibri" w:hAnsi="Garamond" w:cs="Calibri"/>
          <w:bCs/>
          <w:sz w:val="24"/>
          <w:szCs w:val="24"/>
        </w:rPr>
        <w:t xml:space="preserve"> computed using the standard statistical formula, the Cochran formula. Generally, using a 95% confidence level with an accuracy of + 5%, is recommended for most research studies and is considered a statistically valid sample size. The sampling formula yields 384 HHs, however to control possible methodolo</w:t>
      </w:r>
      <w:r w:rsidR="0085497A" w:rsidRPr="00116D0B">
        <w:rPr>
          <w:rFonts w:ascii="Garamond" w:eastAsia="Calibri" w:hAnsi="Garamond" w:cs="Calibri"/>
          <w:bCs/>
          <w:sz w:val="24"/>
          <w:szCs w:val="24"/>
        </w:rPr>
        <w:t>gical errors,</w:t>
      </w:r>
      <w:r w:rsidRPr="00116D0B">
        <w:rPr>
          <w:rFonts w:ascii="Garamond" w:eastAsia="Calibri" w:hAnsi="Garamond" w:cs="Calibri"/>
          <w:bCs/>
          <w:sz w:val="24"/>
          <w:szCs w:val="24"/>
        </w:rPr>
        <w:t xml:space="preserve"> biases</w:t>
      </w:r>
      <w:r w:rsidR="0085497A" w:rsidRPr="00116D0B">
        <w:rPr>
          <w:rFonts w:ascii="Garamond" w:eastAsia="Calibri" w:hAnsi="Garamond" w:cs="Calibri"/>
          <w:bCs/>
          <w:sz w:val="24"/>
          <w:szCs w:val="24"/>
        </w:rPr>
        <w:t xml:space="preserve"> and non-response rate</w:t>
      </w:r>
      <w:r w:rsidR="003A1DC2" w:rsidRPr="00116D0B">
        <w:rPr>
          <w:rFonts w:ascii="Garamond" w:eastAsia="Calibri" w:hAnsi="Garamond" w:cs="Calibri"/>
          <w:bCs/>
          <w:sz w:val="24"/>
          <w:szCs w:val="24"/>
        </w:rPr>
        <w:t xml:space="preserve">, </w:t>
      </w:r>
      <w:r w:rsidRPr="00116D0B">
        <w:rPr>
          <w:rFonts w:ascii="Garamond" w:eastAsia="Calibri" w:hAnsi="Garamond" w:cs="Calibri"/>
          <w:bCs/>
          <w:sz w:val="24"/>
          <w:szCs w:val="24"/>
        </w:rPr>
        <w:t>the sample size</w:t>
      </w:r>
      <w:r w:rsidR="003D73E5" w:rsidRPr="00116D0B">
        <w:rPr>
          <w:rFonts w:ascii="Garamond" w:eastAsia="Calibri" w:hAnsi="Garamond" w:cs="Calibri"/>
          <w:bCs/>
          <w:sz w:val="24"/>
          <w:szCs w:val="24"/>
        </w:rPr>
        <w:t xml:space="preserve"> </w:t>
      </w:r>
      <w:r w:rsidR="003A1DC2" w:rsidRPr="00116D0B">
        <w:rPr>
          <w:rFonts w:ascii="Garamond" w:eastAsia="Calibri" w:hAnsi="Garamond" w:cs="Calibri"/>
          <w:bCs/>
          <w:sz w:val="24"/>
          <w:szCs w:val="24"/>
        </w:rPr>
        <w:t>was increased by 5</w:t>
      </w:r>
      <w:r w:rsidRPr="00116D0B">
        <w:rPr>
          <w:rFonts w:ascii="Garamond" w:eastAsia="Calibri" w:hAnsi="Garamond" w:cs="Calibri"/>
          <w:bCs/>
          <w:sz w:val="24"/>
          <w:szCs w:val="24"/>
        </w:rPr>
        <w:t>% of the total calculated numbe</w:t>
      </w:r>
      <w:r w:rsidR="0096010F" w:rsidRPr="00116D0B">
        <w:rPr>
          <w:rFonts w:ascii="Garamond" w:eastAsia="Calibri" w:hAnsi="Garamond" w:cs="Calibri"/>
          <w:bCs/>
          <w:sz w:val="24"/>
          <w:szCs w:val="24"/>
        </w:rPr>
        <w:t>r, the total sample size approximately e</w:t>
      </w:r>
      <w:r w:rsidR="0085497A" w:rsidRPr="00116D0B">
        <w:rPr>
          <w:rFonts w:ascii="Garamond" w:eastAsia="Calibri" w:hAnsi="Garamond" w:cs="Calibri"/>
          <w:bCs/>
          <w:sz w:val="24"/>
          <w:szCs w:val="24"/>
        </w:rPr>
        <w:t>qual</w:t>
      </w:r>
      <w:r w:rsidR="003A1DC2" w:rsidRPr="00116D0B">
        <w:rPr>
          <w:rFonts w:ascii="Garamond" w:eastAsia="Calibri" w:hAnsi="Garamond" w:cs="Calibri"/>
          <w:bCs/>
          <w:sz w:val="24"/>
          <w:szCs w:val="24"/>
        </w:rPr>
        <w:t>ed</w:t>
      </w:r>
      <w:r w:rsidR="0085497A" w:rsidRPr="00116D0B">
        <w:rPr>
          <w:rFonts w:ascii="Garamond" w:eastAsia="Calibri" w:hAnsi="Garamond" w:cs="Calibri"/>
          <w:bCs/>
          <w:sz w:val="24"/>
          <w:szCs w:val="24"/>
        </w:rPr>
        <w:t xml:space="preserve"> 4</w:t>
      </w:r>
      <w:r w:rsidR="003A1DC2" w:rsidRPr="00116D0B">
        <w:rPr>
          <w:rFonts w:ascii="Garamond" w:eastAsia="Calibri" w:hAnsi="Garamond" w:cs="Calibri"/>
          <w:bCs/>
          <w:sz w:val="24"/>
          <w:szCs w:val="24"/>
        </w:rPr>
        <w:t>00 respondents</w:t>
      </w:r>
      <w:r w:rsidRPr="00116D0B">
        <w:rPr>
          <w:rFonts w:ascii="Garamond" w:eastAsia="Calibri" w:hAnsi="Garamond" w:cs="Calibri"/>
          <w:bCs/>
          <w:sz w:val="24"/>
          <w:szCs w:val="24"/>
        </w:rPr>
        <w:t xml:space="preserve"> for the survey.</w:t>
      </w:r>
      <w:r w:rsidR="00AB3200" w:rsidRPr="00116D0B">
        <w:rPr>
          <w:rFonts w:ascii="Garamond" w:eastAsia="Calibri" w:hAnsi="Garamond" w:cs="Calibri"/>
          <w:bCs/>
          <w:sz w:val="24"/>
          <w:szCs w:val="24"/>
        </w:rPr>
        <w:t xml:space="preserve"> </w:t>
      </w:r>
      <w:r w:rsidR="003A1DC2" w:rsidRPr="00116D0B">
        <w:rPr>
          <w:rFonts w:ascii="Garamond" w:eastAsia="Calibri" w:hAnsi="Garamond" w:cs="Calibri"/>
          <w:bCs/>
          <w:sz w:val="24"/>
          <w:szCs w:val="24"/>
        </w:rPr>
        <w:t>Overall, a total number of 415 respondents were surveyed across the 8 wards as shown in table 4 below.</w:t>
      </w:r>
    </w:p>
    <w:p w14:paraId="6DE03370" w14:textId="7DB22734" w:rsidR="003A1DC2" w:rsidRPr="00116D0B" w:rsidRDefault="003A1DC2" w:rsidP="00C27173">
      <w:pPr>
        <w:pStyle w:val="Caption"/>
      </w:pPr>
      <w:bookmarkStart w:id="53" w:name="_Toc166704027"/>
      <w:r w:rsidRPr="00116D0B">
        <w:t xml:space="preserve">Table </w:t>
      </w:r>
      <w:fldSimple w:instr=" SEQ Table \* ARABIC ">
        <w:r w:rsidR="00116D0B" w:rsidRPr="00116D0B">
          <w:rPr>
            <w:noProof/>
          </w:rPr>
          <w:t>4</w:t>
        </w:r>
      </w:fldSimple>
      <w:r w:rsidRPr="00116D0B">
        <w:t>: Number of surveyed respondents</w:t>
      </w:r>
      <w:bookmarkEnd w:id="53"/>
    </w:p>
    <w:tbl>
      <w:tblPr>
        <w:tblW w:w="4832" w:type="dxa"/>
        <w:tblLook w:val="04A0" w:firstRow="1" w:lastRow="0" w:firstColumn="1" w:lastColumn="0" w:noHBand="0" w:noVBand="1"/>
      </w:tblPr>
      <w:tblGrid>
        <w:gridCol w:w="3160"/>
        <w:gridCol w:w="760"/>
        <w:gridCol w:w="912"/>
      </w:tblGrid>
      <w:tr w:rsidR="003A1DC2" w:rsidRPr="00116D0B" w14:paraId="00952211" w14:textId="77777777" w:rsidTr="003A1DC2">
        <w:trPr>
          <w:trHeight w:val="290"/>
        </w:trPr>
        <w:tc>
          <w:tcPr>
            <w:tcW w:w="3160" w:type="dxa"/>
            <w:tcBorders>
              <w:top w:val="single" w:sz="8" w:space="0" w:color="3F752B"/>
              <w:left w:val="nil"/>
              <w:bottom w:val="nil"/>
              <w:right w:val="nil"/>
            </w:tcBorders>
            <w:shd w:val="clear" w:color="549E39" w:fill="549E39"/>
            <w:noWrap/>
            <w:vAlign w:val="bottom"/>
            <w:hideMark/>
          </w:tcPr>
          <w:p w14:paraId="7CE678C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Location of respondents (wards)</w:t>
            </w:r>
          </w:p>
        </w:tc>
        <w:tc>
          <w:tcPr>
            <w:tcW w:w="760" w:type="dxa"/>
            <w:tcBorders>
              <w:top w:val="single" w:sz="8" w:space="0" w:color="3F752B"/>
              <w:left w:val="nil"/>
              <w:bottom w:val="nil"/>
              <w:right w:val="nil"/>
            </w:tcBorders>
            <w:shd w:val="clear" w:color="549E39" w:fill="549E39"/>
            <w:noWrap/>
            <w:vAlign w:val="bottom"/>
            <w:hideMark/>
          </w:tcPr>
          <w:p w14:paraId="30B55C9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t>
            </w:r>
          </w:p>
        </w:tc>
        <w:tc>
          <w:tcPr>
            <w:tcW w:w="912" w:type="dxa"/>
            <w:tcBorders>
              <w:top w:val="single" w:sz="8" w:space="0" w:color="3F752B"/>
              <w:left w:val="nil"/>
              <w:bottom w:val="nil"/>
              <w:right w:val="nil"/>
            </w:tcBorders>
            <w:shd w:val="clear" w:color="auto" w:fill="449E46"/>
            <w:noWrap/>
            <w:vAlign w:val="bottom"/>
            <w:hideMark/>
          </w:tcPr>
          <w:p w14:paraId="38ADDA1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t>
            </w:r>
          </w:p>
        </w:tc>
      </w:tr>
      <w:tr w:rsidR="003A1DC2" w:rsidRPr="00116D0B" w14:paraId="09600399" w14:textId="77777777" w:rsidTr="003A1DC2">
        <w:trPr>
          <w:trHeight w:val="290"/>
        </w:trPr>
        <w:tc>
          <w:tcPr>
            <w:tcW w:w="3160" w:type="dxa"/>
            <w:tcBorders>
              <w:top w:val="nil"/>
              <w:left w:val="nil"/>
              <w:bottom w:val="nil"/>
              <w:right w:val="nil"/>
            </w:tcBorders>
            <w:vAlign w:val="bottom"/>
            <w:hideMark/>
          </w:tcPr>
          <w:p w14:paraId="74489AFF" w14:textId="77777777" w:rsidR="003A1DC2" w:rsidRPr="00116D0B" w:rsidRDefault="003A1DC2" w:rsidP="003A1DC2">
            <w:pPr>
              <w:widowControl/>
              <w:autoSpaceDE/>
              <w:autoSpaceDN/>
              <w:jc w:val="both"/>
              <w:rPr>
                <w:rFonts w:ascii="Garamond" w:eastAsia="Times New Roman" w:hAnsi="Garamond" w:cs="Calibri"/>
                <w:color w:val="000000"/>
                <w:sz w:val="24"/>
                <w:szCs w:val="24"/>
              </w:rPr>
            </w:pPr>
            <w:proofErr w:type="spellStart"/>
            <w:r w:rsidRPr="00116D0B">
              <w:rPr>
                <w:rFonts w:ascii="Garamond" w:eastAsia="Times New Roman" w:hAnsi="Garamond" w:cs="Calibri"/>
                <w:color w:val="000000"/>
                <w:sz w:val="24"/>
                <w:szCs w:val="24"/>
              </w:rPr>
              <w:t>Garta</w:t>
            </w:r>
            <w:proofErr w:type="spellEnd"/>
            <w:r w:rsidRPr="00116D0B">
              <w:rPr>
                <w:rFonts w:ascii="Garamond" w:eastAsia="Times New Roman" w:hAnsi="Garamond" w:cs="Calibri"/>
                <w:color w:val="000000"/>
                <w:sz w:val="24"/>
                <w:szCs w:val="24"/>
              </w:rPr>
              <w:t xml:space="preserve">/ </w:t>
            </w:r>
            <w:proofErr w:type="spellStart"/>
            <w:r w:rsidRPr="00116D0B">
              <w:rPr>
                <w:rFonts w:ascii="Garamond" w:eastAsia="Times New Roman" w:hAnsi="Garamond" w:cs="Calibri"/>
                <w:color w:val="000000"/>
                <w:sz w:val="24"/>
                <w:szCs w:val="24"/>
              </w:rPr>
              <w:t>Ghunchi</w:t>
            </w:r>
            <w:proofErr w:type="spellEnd"/>
          </w:p>
        </w:tc>
        <w:tc>
          <w:tcPr>
            <w:tcW w:w="760" w:type="dxa"/>
            <w:tcBorders>
              <w:top w:val="nil"/>
              <w:left w:val="single" w:sz="4" w:space="0" w:color="93D07B"/>
              <w:bottom w:val="nil"/>
              <w:right w:val="single" w:sz="4" w:space="0" w:color="93D07B"/>
            </w:tcBorders>
            <w:noWrap/>
            <w:vAlign w:val="bottom"/>
            <w:hideMark/>
          </w:tcPr>
          <w:p w14:paraId="206F2B0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43</w:t>
            </w:r>
          </w:p>
        </w:tc>
        <w:tc>
          <w:tcPr>
            <w:tcW w:w="912" w:type="dxa"/>
            <w:tcBorders>
              <w:top w:val="nil"/>
              <w:left w:val="nil"/>
              <w:bottom w:val="nil"/>
              <w:right w:val="nil"/>
            </w:tcBorders>
            <w:noWrap/>
            <w:vAlign w:val="bottom"/>
            <w:hideMark/>
          </w:tcPr>
          <w:p w14:paraId="63D1F99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10.4%</w:t>
            </w:r>
          </w:p>
        </w:tc>
      </w:tr>
      <w:tr w:rsidR="003A1DC2" w:rsidRPr="00116D0B" w14:paraId="326DB950" w14:textId="77777777" w:rsidTr="003A1DC2">
        <w:trPr>
          <w:trHeight w:val="290"/>
        </w:trPr>
        <w:tc>
          <w:tcPr>
            <w:tcW w:w="3160" w:type="dxa"/>
            <w:tcBorders>
              <w:top w:val="nil"/>
              <w:left w:val="nil"/>
              <w:bottom w:val="nil"/>
              <w:right w:val="nil"/>
            </w:tcBorders>
            <w:noWrap/>
            <w:vAlign w:val="bottom"/>
            <w:hideMark/>
          </w:tcPr>
          <w:p w14:paraId="4376C8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Madzi</w:t>
            </w:r>
          </w:p>
        </w:tc>
        <w:tc>
          <w:tcPr>
            <w:tcW w:w="760" w:type="dxa"/>
            <w:tcBorders>
              <w:top w:val="nil"/>
              <w:left w:val="single" w:sz="4" w:space="0" w:color="93D07B"/>
              <w:bottom w:val="nil"/>
              <w:right w:val="single" w:sz="4" w:space="0" w:color="93D07B"/>
            </w:tcBorders>
            <w:noWrap/>
            <w:vAlign w:val="bottom"/>
            <w:hideMark/>
          </w:tcPr>
          <w:p w14:paraId="3F03CC2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w:t>
            </w:r>
          </w:p>
        </w:tc>
        <w:tc>
          <w:tcPr>
            <w:tcW w:w="912" w:type="dxa"/>
            <w:tcBorders>
              <w:top w:val="nil"/>
              <w:left w:val="nil"/>
              <w:bottom w:val="nil"/>
              <w:right w:val="nil"/>
            </w:tcBorders>
            <w:noWrap/>
            <w:vAlign w:val="bottom"/>
            <w:hideMark/>
          </w:tcPr>
          <w:p w14:paraId="0FBBCB2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9.9%</w:t>
            </w:r>
          </w:p>
        </w:tc>
      </w:tr>
      <w:tr w:rsidR="003A1DC2" w:rsidRPr="00116D0B" w14:paraId="21B1366A" w14:textId="77777777" w:rsidTr="003A1DC2">
        <w:trPr>
          <w:trHeight w:val="290"/>
        </w:trPr>
        <w:tc>
          <w:tcPr>
            <w:tcW w:w="3160" w:type="dxa"/>
            <w:tcBorders>
              <w:top w:val="nil"/>
              <w:left w:val="nil"/>
              <w:bottom w:val="nil"/>
              <w:right w:val="nil"/>
            </w:tcBorders>
            <w:noWrap/>
            <w:vAlign w:val="bottom"/>
            <w:hideMark/>
          </w:tcPr>
          <w:p w14:paraId="366B0E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Michika II</w:t>
            </w:r>
          </w:p>
        </w:tc>
        <w:tc>
          <w:tcPr>
            <w:tcW w:w="760" w:type="dxa"/>
            <w:tcBorders>
              <w:top w:val="nil"/>
              <w:left w:val="single" w:sz="4" w:space="0" w:color="93D07B"/>
              <w:bottom w:val="nil"/>
              <w:right w:val="single" w:sz="4" w:space="0" w:color="93D07B"/>
            </w:tcBorders>
            <w:noWrap/>
            <w:vAlign w:val="bottom"/>
            <w:hideMark/>
          </w:tcPr>
          <w:p w14:paraId="441BE9E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55</w:t>
            </w:r>
          </w:p>
        </w:tc>
        <w:tc>
          <w:tcPr>
            <w:tcW w:w="912" w:type="dxa"/>
            <w:tcBorders>
              <w:top w:val="nil"/>
              <w:left w:val="nil"/>
              <w:bottom w:val="nil"/>
              <w:right w:val="nil"/>
            </w:tcBorders>
            <w:noWrap/>
            <w:vAlign w:val="bottom"/>
            <w:hideMark/>
          </w:tcPr>
          <w:p w14:paraId="7DEA544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13.3%</w:t>
            </w:r>
          </w:p>
        </w:tc>
      </w:tr>
      <w:tr w:rsidR="003A1DC2" w:rsidRPr="00116D0B" w14:paraId="5A18C196" w14:textId="77777777" w:rsidTr="003A1DC2">
        <w:trPr>
          <w:trHeight w:val="290"/>
        </w:trPr>
        <w:tc>
          <w:tcPr>
            <w:tcW w:w="3160" w:type="dxa"/>
            <w:tcBorders>
              <w:top w:val="nil"/>
              <w:left w:val="nil"/>
              <w:bottom w:val="nil"/>
              <w:right w:val="nil"/>
            </w:tcBorders>
            <w:vAlign w:val="bottom"/>
            <w:hideMark/>
          </w:tcPr>
          <w:p w14:paraId="268140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proofErr w:type="spellStart"/>
            <w:r w:rsidRPr="00116D0B">
              <w:rPr>
                <w:rFonts w:ascii="Garamond" w:eastAsia="Times New Roman" w:hAnsi="Garamond" w:cs="Calibri"/>
                <w:color w:val="000000"/>
                <w:sz w:val="24"/>
                <w:szCs w:val="24"/>
              </w:rPr>
              <w:t>Minkisi</w:t>
            </w:r>
            <w:proofErr w:type="spellEnd"/>
            <w:r w:rsidRPr="00116D0B">
              <w:rPr>
                <w:rFonts w:ascii="Garamond" w:eastAsia="Times New Roman" w:hAnsi="Garamond" w:cs="Calibri"/>
                <w:color w:val="000000"/>
                <w:sz w:val="24"/>
                <w:szCs w:val="24"/>
              </w:rPr>
              <w:t xml:space="preserve">/ </w:t>
            </w:r>
            <w:proofErr w:type="spellStart"/>
            <w:r w:rsidRPr="00116D0B">
              <w:rPr>
                <w:rFonts w:ascii="Garamond" w:eastAsia="Times New Roman" w:hAnsi="Garamond" w:cs="Calibri"/>
                <w:color w:val="000000"/>
                <w:sz w:val="24"/>
                <w:szCs w:val="24"/>
              </w:rPr>
              <w:t>Wuro</w:t>
            </w:r>
            <w:proofErr w:type="spellEnd"/>
            <w:r w:rsidRPr="00116D0B">
              <w:rPr>
                <w:rFonts w:ascii="Garamond" w:eastAsia="Times New Roman" w:hAnsi="Garamond" w:cs="Calibri"/>
                <w:color w:val="000000"/>
                <w:sz w:val="24"/>
                <w:szCs w:val="24"/>
              </w:rPr>
              <w:t xml:space="preserve"> </w:t>
            </w:r>
            <w:proofErr w:type="spellStart"/>
            <w:r w:rsidRPr="00116D0B">
              <w:rPr>
                <w:rFonts w:ascii="Garamond" w:eastAsia="Times New Roman" w:hAnsi="Garamond" w:cs="Calibri"/>
                <w:color w:val="000000"/>
                <w:sz w:val="24"/>
                <w:szCs w:val="24"/>
              </w:rPr>
              <w:t>Ngik</w:t>
            </w:r>
            <w:proofErr w:type="spellEnd"/>
          </w:p>
        </w:tc>
        <w:tc>
          <w:tcPr>
            <w:tcW w:w="760" w:type="dxa"/>
            <w:tcBorders>
              <w:top w:val="nil"/>
              <w:left w:val="single" w:sz="4" w:space="0" w:color="93D07B"/>
              <w:bottom w:val="nil"/>
              <w:right w:val="single" w:sz="4" w:space="0" w:color="93D07B"/>
            </w:tcBorders>
            <w:noWrap/>
            <w:vAlign w:val="bottom"/>
            <w:hideMark/>
          </w:tcPr>
          <w:p w14:paraId="4797067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43</w:t>
            </w:r>
          </w:p>
        </w:tc>
        <w:tc>
          <w:tcPr>
            <w:tcW w:w="912" w:type="dxa"/>
            <w:tcBorders>
              <w:top w:val="nil"/>
              <w:left w:val="nil"/>
              <w:bottom w:val="nil"/>
              <w:right w:val="nil"/>
            </w:tcBorders>
            <w:noWrap/>
            <w:vAlign w:val="bottom"/>
            <w:hideMark/>
          </w:tcPr>
          <w:p w14:paraId="07E0E75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10.4%</w:t>
            </w:r>
          </w:p>
        </w:tc>
      </w:tr>
      <w:tr w:rsidR="003A1DC2" w:rsidRPr="00116D0B" w14:paraId="7DDDC729" w14:textId="77777777" w:rsidTr="003A1DC2">
        <w:trPr>
          <w:trHeight w:val="290"/>
        </w:trPr>
        <w:tc>
          <w:tcPr>
            <w:tcW w:w="3160" w:type="dxa"/>
            <w:tcBorders>
              <w:top w:val="nil"/>
              <w:left w:val="nil"/>
              <w:bottom w:val="nil"/>
              <w:right w:val="nil"/>
            </w:tcBorders>
            <w:noWrap/>
            <w:vAlign w:val="bottom"/>
            <w:hideMark/>
          </w:tcPr>
          <w:p w14:paraId="02C7796D" w14:textId="77777777" w:rsidR="003A1DC2" w:rsidRPr="00116D0B" w:rsidRDefault="003A1DC2" w:rsidP="003A1DC2">
            <w:pPr>
              <w:widowControl/>
              <w:autoSpaceDE/>
              <w:autoSpaceDN/>
              <w:jc w:val="both"/>
              <w:rPr>
                <w:rFonts w:ascii="Garamond" w:eastAsia="Times New Roman" w:hAnsi="Garamond" w:cs="Calibri"/>
                <w:color w:val="000000"/>
                <w:sz w:val="24"/>
                <w:szCs w:val="24"/>
              </w:rPr>
            </w:pPr>
            <w:proofErr w:type="spellStart"/>
            <w:r w:rsidRPr="00116D0B">
              <w:rPr>
                <w:rFonts w:ascii="Garamond" w:eastAsia="Times New Roman" w:hAnsi="Garamond" w:cs="Calibri"/>
                <w:color w:val="000000"/>
                <w:sz w:val="24"/>
                <w:szCs w:val="24"/>
              </w:rPr>
              <w:t>Munkavicita</w:t>
            </w:r>
            <w:proofErr w:type="spellEnd"/>
          </w:p>
        </w:tc>
        <w:tc>
          <w:tcPr>
            <w:tcW w:w="760" w:type="dxa"/>
            <w:tcBorders>
              <w:top w:val="nil"/>
              <w:left w:val="single" w:sz="4" w:space="0" w:color="93D07B"/>
              <w:bottom w:val="nil"/>
              <w:right w:val="single" w:sz="4" w:space="0" w:color="93D07B"/>
            </w:tcBorders>
            <w:noWrap/>
            <w:vAlign w:val="bottom"/>
            <w:hideMark/>
          </w:tcPr>
          <w:p w14:paraId="398A0D9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w:t>
            </w:r>
          </w:p>
        </w:tc>
        <w:tc>
          <w:tcPr>
            <w:tcW w:w="912" w:type="dxa"/>
            <w:tcBorders>
              <w:top w:val="nil"/>
              <w:left w:val="nil"/>
              <w:bottom w:val="nil"/>
              <w:right w:val="nil"/>
            </w:tcBorders>
            <w:noWrap/>
            <w:vAlign w:val="bottom"/>
            <w:hideMark/>
          </w:tcPr>
          <w:p w14:paraId="0037F5C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10.6%</w:t>
            </w:r>
          </w:p>
        </w:tc>
      </w:tr>
      <w:tr w:rsidR="003A1DC2" w:rsidRPr="00116D0B" w14:paraId="3A14595D" w14:textId="77777777" w:rsidTr="003A1DC2">
        <w:trPr>
          <w:trHeight w:val="290"/>
        </w:trPr>
        <w:tc>
          <w:tcPr>
            <w:tcW w:w="3160" w:type="dxa"/>
            <w:tcBorders>
              <w:top w:val="nil"/>
              <w:left w:val="nil"/>
              <w:bottom w:val="nil"/>
              <w:right w:val="nil"/>
            </w:tcBorders>
            <w:vAlign w:val="bottom"/>
            <w:hideMark/>
          </w:tcPr>
          <w:p w14:paraId="402E5C3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 xml:space="preserve">Sina/ </w:t>
            </w:r>
            <w:proofErr w:type="spellStart"/>
            <w:r w:rsidRPr="00116D0B">
              <w:rPr>
                <w:rFonts w:ascii="Garamond" w:eastAsia="Times New Roman" w:hAnsi="Garamond" w:cs="Calibri"/>
                <w:color w:val="000000"/>
                <w:sz w:val="24"/>
                <w:szCs w:val="24"/>
              </w:rPr>
              <w:t>kamale</w:t>
            </w:r>
            <w:proofErr w:type="spellEnd"/>
            <w:r w:rsidRPr="00116D0B">
              <w:rPr>
                <w:rFonts w:ascii="Garamond" w:eastAsia="Times New Roman" w:hAnsi="Garamond" w:cs="Calibri"/>
                <w:color w:val="000000"/>
                <w:sz w:val="24"/>
                <w:szCs w:val="24"/>
              </w:rPr>
              <w:t xml:space="preserve">/ </w:t>
            </w:r>
            <w:proofErr w:type="spellStart"/>
            <w:r w:rsidRPr="00116D0B">
              <w:rPr>
                <w:rFonts w:ascii="Garamond" w:eastAsia="Times New Roman" w:hAnsi="Garamond" w:cs="Calibri"/>
                <w:color w:val="000000"/>
                <w:sz w:val="24"/>
                <w:szCs w:val="24"/>
              </w:rPr>
              <w:t>Kwande</w:t>
            </w:r>
            <w:proofErr w:type="spellEnd"/>
          </w:p>
        </w:tc>
        <w:tc>
          <w:tcPr>
            <w:tcW w:w="760" w:type="dxa"/>
            <w:tcBorders>
              <w:top w:val="nil"/>
              <w:left w:val="single" w:sz="4" w:space="0" w:color="93D07B"/>
              <w:bottom w:val="nil"/>
              <w:right w:val="single" w:sz="4" w:space="0" w:color="93D07B"/>
            </w:tcBorders>
            <w:noWrap/>
            <w:vAlign w:val="bottom"/>
            <w:hideMark/>
          </w:tcPr>
          <w:p w14:paraId="4D95916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43</w:t>
            </w:r>
          </w:p>
        </w:tc>
        <w:tc>
          <w:tcPr>
            <w:tcW w:w="912" w:type="dxa"/>
            <w:tcBorders>
              <w:top w:val="nil"/>
              <w:left w:val="nil"/>
              <w:bottom w:val="nil"/>
              <w:right w:val="nil"/>
            </w:tcBorders>
            <w:noWrap/>
            <w:vAlign w:val="bottom"/>
            <w:hideMark/>
          </w:tcPr>
          <w:p w14:paraId="7DF84FA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10.4%</w:t>
            </w:r>
          </w:p>
        </w:tc>
      </w:tr>
      <w:tr w:rsidR="003A1DC2" w:rsidRPr="00116D0B" w14:paraId="1F7983C5" w14:textId="77777777" w:rsidTr="003A1DC2">
        <w:trPr>
          <w:trHeight w:val="290"/>
        </w:trPr>
        <w:tc>
          <w:tcPr>
            <w:tcW w:w="3160" w:type="dxa"/>
            <w:tcBorders>
              <w:top w:val="nil"/>
              <w:left w:val="nil"/>
              <w:bottom w:val="nil"/>
              <w:right w:val="nil"/>
            </w:tcBorders>
            <w:vAlign w:val="bottom"/>
            <w:hideMark/>
          </w:tcPr>
          <w:p w14:paraId="39B51855" w14:textId="77777777" w:rsidR="003A1DC2" w:rsidRPr="00116D0B" w:rsidRDefault="003A1DC2" w:rsidP="003A1DC2">
            <w:pPr>
              <w:widowControl/>
              <w:autoSpaceDE/>
              <w:autoSpaceDN/>
              <w:jc w:val="both"/>
              <w:rPr>
                <w:rFonts w:ascii="Garamond" w:eastAsia="Times New Roman" w:hAnsi="Garamond" w:cs="Calibri"/>
                <w:color w:val="000000"/>
                <w:sz w:val="24"/>
                <w:szCs w:val="24"/>
              </w:rPr>
            </w:pPr>
            <w:proofErr w:type="spellStart"/>
            <w:r w:rsidRPr="00116D0B">
              <w:rPr>
                <w:rFonts w:ascii="Garamond" w:eastAsia="Times New Roman" w:hAnsi="Garamond" w:cs="Calibri"/>
                <w:color w:val="000000"/>
                <w:sz w:val="24"/>
                <w:szCs w:val="24"/>
              </w:rPr>
              <w:t>Tumbara</w:t>
            </w:r>
            <w:proofErr w:type="spellEnd"/>
            <w:r w:rsidRPr="00116D0B">
              <w:rPr>
                <w:rFonts w:ascii="Garamond" w:eastAsia="Times New Roman" w:hAnsi="Garamond" w:cs="Calibri"/>
                <w:color w:val="000000"/>
                <w:sz w:val="24"/>
                <w:szCs w:val="24"/>
              </w:rPr>
              <w:t xml:space="preserve">/ </w:t>
            </w:r>
            <w:proofErr w:type="spellStart"/>
            <w:r w:rsidRPr="00116D0B">
              <w:rPr>
                <w:rFonts w:ascii="Garamond" w:eastAsia="Times New Roman" w:hAnsi="Garamond" w:cs="Calibri"/>
                <w:color w:val="000000"/>
                <w:sz w:val="24"/>
                <w:szCs w:val="24"/>
              </w:rPr>
              <w:t>Ngabili</w:t>
            </w:r>
            <w:proofErr w:type="spellEnd"/>
          </w:p>
        </w:tc>
        <w:tc>
          <w:tcPr>
            <w:tcW w:w="760" w:type="dxa"/>
            <w:tcBorders>
              <w:top w:val="nil"/>
              <w:left w:val="single" w:sz="4" w:space="0" w:color="93D07B"/>
              <w:bottom w:val="nil"/>
              <w:right w:val="single" w:sz="4" w:space="0" w:color="93D07B"/>
            </w:tcBorders>
            <w:noWrap/>
            <w:vAlign w:val="bottom"/>
            <w:hideMark/>
          </w:tcPr>
          <w:p w14:paraId="73733CA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101</w:t>
            </w:r>
          </w:p>
        </w:tc>
        <w:tc>
          <w:tcPr>
            <w:tcW w:w="912" w:type="dxa"/>
            <w:tcBorders>
              <w:top w:val="nil"/>
              <w:left w:val="nil"/>
              <w:bottom w:val="nil"/>
              <w:right w:val="nil"/>
            </w:tcBorders>
            <w:noWrap/>
            <w:vAlign w:val="bottom"/>
            <w:hideMark/>
          </w:tcPr>
          <w:p w14:paraId="26EAF9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24.3%</w:t>
            </w:r>
          </w:p>
        </w:tc>
      </w:tr>
      <w:tr w:rsidR="003A1DC2" w:rsidRPr="00116D0B" w14:paraId="4FBB2A5C" w14:textId="77777777" w:rsidTr="003A1DC2">
        <w:trPr>
          <w:trHeight w:val="290"/>
        </w:trPr>
        <w:tc>
          <w:tcPr>
            <w:tcW w:w="3160" w:type="dxa"/>
            <w:tcBorders>
              <w:top w:val="nil"/>
              <w:left w:val="nil"/>
              <w:bottom w:val="nil"/>
              <w:right w:val="nil"/>
            </w:tcBorders>
            <w:vAlign w:val="bottom"/>
            <w:hideMark/>
          </w:tcPr>
          <w:p w14:paraId="13C0E433" w14:textId="77777777" w:rsidR="003A1DC2" w:rsidRPr="00116D0B" w:rsidRDefault="003A1DC2" w:rsidP="003A1DC2">
            <w:pPr>
              <w:widowControl/>
              <w:autoSpaceDE/>
              <w:autoSpaceDN/>
              <w:jc w:val="both"/>
              <w:rPr>
                <w:rFonts w:ascii="Garamond" w:eastAsia="Times New Roman" w:hAnsi="Garamond" w:cs="Calibri"/>
                <w:color w:val="000000"/>
                <w:sz w:val="24"/>
                <w:szCs w:val="24"/>
              </w:rPr>
            </w:pPr>
            <w:proofErr w:type="spellStart"/>
            <w:r w:rsidRPr="00116D0B">
              <w:rPr>
                <w:rFonts w:ascii="Garamond" w:eastAsia="Times New Roman" w:hAnsi="Garamond" w:cs="Calibri"/>
                <w:color w:val="000000"/>
                <w:sz w:val="24"/>
                <w:szCs w:val="24"/>
              </w:rPr>
              <w:t>Wamblimi</w:t>
            </w:r>
            <w:proofErr w:type="spellEnd"/>
            <w:r w:rsidRPr="00116D0B">
              <w:rPr>
                <w:rFonts w:ascii="Garamond" w:eastAsia="Times New Roman" w:hAnsi="Garamond" w:cs="Calibri"/>
                <w:color w:val="000000"/>
                <w:sz w:val="24"/>
                <w:szCs w:val="24"/>
              </w:rPr>
              <w:t>/ Tilli</w:t>
            </w:r>
          </w:p>
        </w:tc>
        <w:tc>
          <w:tcPr>
            <w:tcW w:w="760" w:type="dxa"/>
            <w:tcBorders>
              <w:top w:val="nil"/>
              <w:left w:val="single" w:sz="4" w:space="0" w:color="93D07B"/>
              <w:bottom w:val="nil"/>
              <w:right w:val="single" w:sz="4" w:space="0" w:color="93D07B"/>
            </w:tcBorders>
            <w:noWrap/>
            <w:vAlign w:val="bottom"/>
            <w:hideMark/>
          </w:tcPr>
          <w:p w14:paraId="69FF44E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912" w:type="dxa"/>
            <w:tcBorders>
              <w:top w:val="nil"/>
              <w:left w:val="nil"/>
              <w:bottom w:val="nil"/>
              <w:right w:val="nil"/>
            </w:tcBorders>
            <w:noWrap/>
            <w:vAlign w:val="bottom"/>
            <w:hideMark/>
          </w:tcPr>
          <w:p w14:paraId="0102491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10.8%</w:t>
            </w:r>
          </w:p>
        </w:tc>
      </w:tr>
      <w:tr w:rsidR="003A1DC2" w:rsidRPr="00116D0B" w14:paraId="0902A0E6" w14:textId="77777777" w:rsidTr="003A1DC2">
        <w:trPr>
          <w:trHeight w:val="300"/>
        </w:trPr>
        <w:tc>
          <w:tcPr>
            <w:tcW w:w="3160" w:type="dxa"/>
            <w:tcBorders>
              <w:top w:val="single" w:sz="4" w:space="0" w:color="3F752B"/>
              <w:left w:val="nil"/>
              <w:bottom w:val="single" w:sz="8" w:space="0" w:color="549E39"/>
              <w:right w:val="nil"/>
            </w:tcBorders>
            <w:noWrap/>
            <w:vAlign w:val="bottom"/>
            <w:hideMark/>
          </w:tcPr>
          <w:p w14:paraId="5A54E2F0" w14:textId="77777777" w:rsidR="003A1DC2" w:rsidRPr="00116D0B" w:rsidRDefault="003A1DC2" w:rsidP="003A1DC2">
            <w:pPr>
              <w:widowControl/>
              <w:autoSpaceDE/>
              <w:autoSpaceDN/>
              <w:jc w:val="both"/>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Grand Total</w:t>
            </w:r>
          </w:p>
        </w:tc>
        <w:tc>
          <w:tcPr>
            <w:tcW w:w="760" w:type="dxa"/>
            <w:tcBorders>
              <w:top w:val="single" w:sz="4" w:space="0" w:color="3F752B"/>
              <w:left w:val="single" w:sz="4" w:space="0" w:color="93D07B"/>
              <w:bottom w:val="single" w:sz="8" w:space="0" w:color="549E39"/>
              <w:right w:val="single" w:sz="4" w:space="0" w:color="93D07B"/>
            </w:tcBorders>
            <w:noWrap/>
            <w:vAlign w:val="bottom"/>
            <w:hideMark/>
          </w:tcPr>
          <w:p w14:paraId="0592FC7D" w14:textId="77777777" w:rsidR="003A1DC2" w:rsidRPr="00116D0B" w:rsidRDefault="003A1DC2" w:rsidP="003A1DC2">
            <w:pPr>
              <w:widowControl/>
              <w:autoSpaceDE/>
              <w:autoSpaceDN/>
              <w:jc w:val="both"/>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415</w:t>
            </w:r>
          </w:p>
        </w:tc>
        <w:tc>
          <w:tcPr>
            <w:tcW w:w="912" w:type="dxa"/>
            <w:tcBorders>
              <w:top w:val="single" w:sz="4" w:space="0" w:color="3F752B"/>
              <w:left w:val="nil"/>
              <w:bottom w:val="single" w:sz="8" w:space="0" w:color="549E39"/>
              <w:right w:val="nil"/>
            </w:tcBorders>
            <w:noWrap/>
            <w:vAlign w:val="bottom"/>
            <w:hideMark/>
          </w:tcPr>
          <w:p w14:paraId="72ECFF14" w14:textId="77777777" w:rsidR="003A1DC2" w:rsidRPr="00116D0B" w:rsidRDefault="003A1DC2" w:rsidP="003A1DC2">
            <w:pPr>
              <w:widowControl/>
              <w:autoSpaceDE/>
              <w:autoSpaceDN/>
              <w:jc w:val="both"/>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100.0%</w:t>
            </w:r>
          </w:p>
        </w:tc>
      </w:tr>
    </w:tbl>
    <w:p w14:paraId="6613F2D9" w14:textId="329C72D3" w:rsidR="00FB2F30" w:rsidRPr="00116D0B" w:rsidRDefault="00FB2F30" w:rsidP="000E35C5">
      <w:pPr>
        <w:spacing w:before="240" w:after="240" w:line="276" w:lineRule="auto"/>
        <w:jc w:val="both"/>
        <w:rPr>
          <w:rFonts w:ascii="Garamond" w:eastAsia="Malgun Gothic" w:hAnsi="Garamond" w:cs="Calibri"/>
          <w:b/>
          <w:sz w:val="24"/>
          <w:szCs w:val="24"/>
        </w:rPr>
      </w:pPr>
    </w:p>
    <w:p w14:paraId="21976DA2" w14:textId="738E6DED" w:rsidR="003A1DC2" w:rsidRPr="00116D0B" w:rsidRDefault="003A1DC2" w:rsidP="003A1DC2">
      <w:pPr>
        <w:pStyle w:val="Heading2"/>
        <w:rPr>
          <w:rFonts w:eastAsia="Calibri"/>
          <w:szCs w:val="24"/>
          <w:lang w:val="en-GB"/>
        </w:rPr>
      </w:pPr>
      <w:bookmarkStart w:id="54" w:name="_Toc166775418"/>
      <w:r w:rsidRPr="00116D0B">
        <w:rPr>
          <w:rFonts w:eastAsia="Calibri"/>
          <w:szCs w:val="24"/>
          <w:lang w:val="en-GB"/>
        </w:rPr>
        <w:lastRenderedPageBreak/>
        <w:t>3.4</w:t>
      </w:r>
      <w:r w:rsidRPr="00116D0B">
        <w:rPr>
          <w:rFonts w:eastAsia="Calibri"/>
          <w:szCs w:val="24"/>
          <w:lang w:val="en-GB"/>
        </w:rPr>
        <w:tab/>
        <w:t>Data Analysis</w:t>
      </w:r>
      <w:bookmarkEnd w:id="54"/>
      <w:r w:rsidRPr="00116D0B">
        <w:rPr>
          <w:rFonts w:eastAsia="Calibri"/>
          <w:szCs w:val="24"/>
          <w:lang w:val="en-GB"/>
        </w:rPr>
        <w:t xml:space="preserve"> </w:t>
      </w:r>
    </w:p>
    <w:p w14:paraId="49559E0B" w14:textId="41B1D36D"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After the data validation, the quantitative data files were concatenated and exported to Microsoft excel for data cleaning</w:t>
      </w:r>
      <w:r w:rsidR="004343E3">
        <w:rPr>
          <w:rFonts w:ascii="Garamond" w:eastAsia="Calibri" w:hAnsi="Garamond" w:cs="Calibri"/>
          <w:sz w:val="24"/>
          <w:szCs w:val="24"/>
          <w:lang w:val="en-GB"/>
        </w:rPr>
        <w:t>,</w:t>
      </w:r>
      <w:r w:rsidRPr="00116D0B">
        <w:rPr>
          <w:rFonts w:ascii="Garamond" w:eastAsia="Calibri" w:hAnsi="Garamond" w:cs="Calibri"/>
          <w:sz w:val="24"/>
          <w:szCs w:val="24"/>
          <w:lang w:val="en-GB"/>
        </w:rPr>
        <w:t xml:space="preserve"> analysis</w:t>
      </w:r>
      <w:r w:rsidR="004343E3">
        <w:rPr>
          <w:rFonts w:ascii="Garamond" w:eastAsia="Calibri" w:hAnsi="Garamond" w:cs="Calibri"/>
          <w:sz w:val="24"/>
          <w:szCs w:val="24"/>
          <w:lang w:val="en-GB"/>
        </w:rPr>
        <w:t>,</w:t>
      </w:r>
      <w:r w:rsidRPr="00116D0B">
        <w:rPr>
          <w:rFonts w:ascii="Garamond" w:eastAsia="Calibri" w:hAnsi="Garamond" w:cs="Calibri"/>
          <w:sz w:val="24"/>
          <w:szCs w:val="24"/>
          <w:lang w:val="en-GB"/>
        </w:rPr>
        <w:t xml:space="preserve"> and visualization. The </w:t>
      </w:r>
      <w:r w:rsidR="004343E3">
        <w:rPr>
          <w:rFonts w:ascii="Garamond" w:eastAsia="Calibri" w:hAnsi="Garamond" w:cs="Calibri"/>
          <w:sz w:val="24"/>
          <w:szCs w:val="24"/>
          <w:lang w:val="en-GB"/>
        </w:rPr>
        <w:t>evaluation</w:t>
      </w:r>
      <w:r w:rsidRPr="00116D0B">
        <w:rPr>
          <w:rFonts w:ascii="Garamond" w:eastAsia="Calibri" w:hAnsi="Garamond" w:cs="Calibri"/>
          <w:sz w:val="24"/>
          <w:szCs w:val="24"/>
          <w:lang w:val="en-GB"/>
        </w:rPr>
        <w:t xml:space="preserve"> utilized descriptive statistics to generate frequency tables on key indicators to check for inconsistency and invalid entries. Statistical tables, charts and graphs were also generated for report writing. </w:t>
      </w:r>
      <w:r w:rsidR="00AD2015">
        <w:rPr>
          <w:rFonts w:ascii="Garamond" w:eastAsia="Calibri" w:hAnsi="Garamond" w:cs="Calibri"/>
          <w:sz w:val="24"/>
          <w:szCs w:val="24"/>
          <w:lang w:val="en-GB"/>
        </w:rPr>
        <w:t xml:space="preserve">Additionally, a comparison of the baseline and endline results of key project indicators was conducted. </w:t>
      </w:r>
      <w:r w:rsidRPr="00116D0B">
        <w:rPr>
          <w:rFonts w:ascii="Garamond" w:eastAsia="Calibri" w:hAnsi="Garamond" w:cs="Calibri"/>
          <w:sz w:val="24"/>
          <w:szCs w:val="24"/>
          <w:lang w:val="en-GB"/>
        </w:rPr>
        <w:t xml:space="preserve">Content analysis was utilized to analyse the qualitative data. This also included the selection and collation of insightful comments from the qualitative data to corroborate the quantitative findings. </w:t>
      </w:r>
    </w:p>
    <w:p w14:paraId="749CDCB1" w14:textId="4A3E3316" w:rsidR="003A1DC2" w:rsidRPr="00116D0B" w:rsidRDefault="003A1DC2" w:rsidP="003A1DC2">
      <w:pPr>
        <w:pStyle w:val="Heading2"/>
        <w:rPr>
          <w:rFonts w:eastAsia="Calibri"/>
          <w:szCs w:val="24"/>
          <w:lang w:val="en-GB"/>
        </w:rPr>
      </w:pPr>
      <w:bookmarkStart w:id="55" w:name="_Toc166775419"/>
      <w:r w:rsidRPr="00116D0B">
        <w:rPr>
          <w:rFonts w:eastAsia="Calibri"/>
          <w:szCs w:val="24"/>
          <w:lang w:val="en-GB"/>
        </w:rPr>
        <w:t>3.5</w:t>
      </w:r>
      <w:r w:rsidRPr="00116D0B">
        <w:rPr>
          <w:rFonts w:eastAsia="Calibri"/>
          <w:szCs w:val="24"/>
          <w:lang w:val="en-GB"/>
        </w:rPr>
        <w:tab/>
        <w:t>Ethical Considerations</w:t>
      </w:r>
      <w:bookmarkEnd w:id="55"/>
      <w:r w:rsidRPr="00116D0B">
        <w:rPr>
          <w:rFonts w:eastAsia="Calibri"/>
          <w:szCs w:val="24"/>
          <w:lang w:val="en-GB"/>
        </w:rPr>
        <w:t xml:space="preserve"> </w:t>
      </w:r>
    </w:p>
    <w:p w14:paraId="40CB6431" w14:textId="620F6DE0" w:rsidR="003A1DC2" w:rsidRPr="00116D0B" w:rsidRDefault="003A1DC2" w:rsidP="003A1DC2">
      <w:pPr>
        <w:widowControl/>
        <w:autoSpaceDE/>
        <w:autoSpaceDN/>
        <w:spacing w:after="160" w:line="259" w:lineRule="auto"/>
        <w:jc w:val="both"/>
        <w:rPr>
          <w:rFonts w:ascii="Garamond" w:eastAsia="Calibri" w:hAnsi="Garamond" w:cs="Calibri"/>
          <w:b/>
          <w:sz w:val="24"/>
          <w:szCs w:val="24"/>
          <w:lang w:val="en-GB"/>
        </w:rPr>
      </w:pPr>
      <w:r w:rsidRPr="00116D0B">
        <w:rPr>
          <w:rFonts w:ascii="Garamond" w:eastAsia="Calibri" w:hAnsi="Garamond" w:cs="Calibri"/>
          <w:sz w:val="24"/>
          <w:szCs w:val="24"/>
          <w:lang w:val="en-GB"/>
        </w:rPr>
        <w:t>The evaluation complied with ethical standards on undertaking research, data collection and analysis such as</w:t>
      </w:r>
      <w:r w:rsidRPr="00116D0B">
        <w:rPr>
          <w:rFonts w:ascii="Garamond" w:eastAsia="Calibri" w:hAnsi="Garamond" w:cs="Calibri"/>
          <w:b/>
          <w:sz w:val="24"/>
          <w:szCs w:val="24"/>
          <w:lang w:val="en-GB"/>
        </w:rPr>
        <w:t xml:space="preserve">: </w:t>
      </w:r>
    </w:p>
    <w:p w14:paraId="55CF893C" w14:textId="77777777" w:rsidR="003A1DC2" w:rsidRPr="00116D0B" w:rsidRDefault="003A1DC2" w:rsidP="003A1DC2">
      <w:pPr>
        <w:widowControl/>
        <w:numPr>
          <w:ilvl w:val="0"/>
          <w:numId w:val="24"/>
        </w:numPr>
        <w:autoSpaceDE/>
        <w:autoSpaceDN/>
        <w:spacing w:after="160" w:line="259"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Avoidance of Harm: The assessment team took pre-emptive measures to ensure that no participant and team member was in harm’s way. </w:t>
      </w:r>
    </w:p>
    <w:p w14:paraId="15D0B00C" w14:textId="77777777" w:rsidR="003A1DC2" w:rsidRPr="00116D0B" w:rsidRDefault="003A1DC2" w:rsidP="003A1DC2">
      <w:pPr>
        <w:widowControl/>
        <w:numPr>
          <w:ilvl w:val="0"/>
          <w:numId w:val="24"/>
        </w:numPr>
        <w:autoSpaceDE/>
        <w:autoSpaceDN/>
        <w:spacing w:after="160" w:line="259"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Informed Consent/Assent: Participants were duly informed of the purpose and scope of the assessment. Their consent was sought before the survey was administered to them. </w:t>
      </w:r>
    </w:p>
    <w:p w14:paraId="01FE6965" w14:textId="77777777" w:rsidR="003A1DC2" w:rsidRPr="00116D0B" w:rsidRDefault="003A1DC2" w:rsidP="003A1DC2">
      <w:pPr>
        <w:widowControl/>
        <w:numPr>
          <w:ilvl w:val="0"/>
          <w:numId w:val="24"/>
        </w:numPr>
        <w:autoSpaceDE/>
        <w:autoSpaceDN/>
        <w:spacing w:after="160" w:line="259" w:lineRule="auto"/>
        <w:contextualSpacing/>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Privacy of Participants: Privacy and confidentiality of participants was maintained, and findings were summarized to an appropriate aggregation level. </w:t>
      </w:r>
    </w:p>
    <w:p w14:paraId="522DC74D" w14:textId="3F35A91D" w:rsidR="003A1DC2" w:rsidRPr="00116D0B" w:rsidRDefault="003A1DC2" w:rsidP="003A1DC2">
      <w:pPr>
        <w:pStyle w:val="Heading2"/>
        <w:rPr>
          <w:rFonts w:eastAsia="Calibri"/>
          <w:szCs w:val="24"/>
          <w:lang w:val="en-GB"/>
        </w:rPr>
      </w:pPr>
      <w:bookmarkStart w:id="56" w:name="_Toc166775420"/>
      <w:r w:rsidRPr="00116D0B">
        <w:rPr>
          <w:rFonts w:eastAsia="Calibri"/>
          <w:szCs w:val="24"/>
          <w:lang w:val="en-GB"/>
        </w:rPr>
        <w:t>3.6</w:t>
      </w:r>
      <w:r w:rsidRPr="00116D0B">
        <w:rPr>
          <w:rFonts w:eastAsia="Calibri"/>
          <w:szCs w:val="24"/>
          <w:lang w:val="en-GB"/>
        </w:rPr>
        <w:tab/>
        <w:t>Data Management</w:t>
      </w:r>
      <w:bookmarkEnd w:id="56"/>
      <w:r w:rsidRPr="00116D0B">
        <w:rPr>
          <w:rFonts w:eastAsia="Calibri"/>
          <w:szCs w:val="24"/>
          <w:lang w:val="en-GB"/>
        </w:rPr>
        <w:t xml:space="preserve"> </w:t>
      </w:r>
    </w:p>
    <w:p w14:paraId="4143C058" w14:textId="0D6EDE2D" w:rsidR="003A1DC2" w:rsidRPr="00116D0B" w:rsidRDefault="003A1DC2" w:rsidP="003A1DC2">
      <w:pPr>
        <w:widowControl/>
        <w:autoSpaceDE/>
        <w:autoSpaceDN/>
        <w:spacing w:after="160" w:line="259"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To ensure data quality, the following quality assurance measures were implemented during the survey and field data collection: </w:t>
      </w:r>
    </w:p>
    <w:p w14:paraId="5F36D4F8" w14:textId="77777777" w:rsidR="003A1DC2" w:rsidRPr="00116D0B" w:rsidRDefault="003A1DC2" w:rsidP="003A1DC2">
      <w:pPr>
        <w:widowControl/>
        <w:numPr>
          <w:ilvl w:val="0"/>
          <w:numId w:val="23"/>
        </w:numPr>
        <w:autoSpaceDE/>
        <w:autoSpaceDN/>
        <w:spacing w:after="160" w:line="259" w:lineRule="auto"/>
        <w:contextualSpacing/>
        <w:jc w:val="both"/>
        <w:rPr>
          <w:rFonts w:ascii="Garamond" w:eastAsia="Calibri" w:hAnsi="Garamond" w:cs="Calibri"/>
          <w:sz w:val="24"/>
          <w:szCs w:val="24"/>
          <w:lang w:val="en-GB"/>
        </w:rPr>
      </w:pPr>
      <w:r w:rsidRPr="00757A6C">
        <w:rPr>
          <w:rFonts w:ascii="Garamond" w:eastAsia="Calibri" w:hAnsi="Garamond" w:cs="Calibri"/>
          <w:b/>
          <w:sz w:val="24"/>
          <w:szCs w:val="24"/>
          <w:lang w:val="en-GB"/>
        </w:rPr>
        <w:t>Continued support and supervision:</w:t>
      </w:r>
      <w:r w:rsidRPr="00116D0B">
        <w:rPr>
          <w:rFonts w:ascii="Garamond" w:eastAsia="Calibri" w:hAnsi="Garamond" w:cs="Calibri"/>
          <w:sz w:val="24"/>
          <w:szCs w:val="24"/>
          <w:lang w:val="en-GB"/>
        </w:rPr>
        <w:t xml:space="preserve"> The lead consultant provided support to the field enumerators during the data collection. Close coordination and effective communication within the team during field data collection was ensured to overcome any unforeseen situation/challenge in the field. </w:t>
      </w:r>
    </w:p>
    <w:p w14:paraId="5595289A" w14:textId="77777777" w:rsidR="003A1DC2" w:rsidRPr="00116D0B" w:rsidRDefault="003A1DC2" w:rsidP="003A1DC2">
      <w:pPr>
        <w:widowControl/>
        <w:numPr>
          <w:ilvl w:val="0"/>
          <w:numId w:val="23"/>
        </w:numPr>
        <w:autoSpaceDE/>
        <w:autoSpaceDN/>
        <w:spacing w:after="160" w:line="259" w:lineRule="auto"/>
        <w:contextualSpacing/>
        <w:jc w:val="both"/>
        <w:rPr>
          <w:rFonts w:ascii="Garamond" w:eastAsia="Calibri" w:hAnsi="Garamond" w:cs="Calibri"/>
          <w:sz w:val="24"/>
          <w:szCs w:val="24"/>
          <w:lang w:val="en-GB"/>
        </w:rPr>
      </w:pPr>
      <w:r w:rsidRPr="00757A6C">
        <w:rPr>
          <w:rFonts w:ascii="Garamond" w:eastAsia="Calibri" w:hAnsi="Garamond" w:cs="Calibri"/>
          <w:b/>
          <w:sz w:val="24"/>
          <w:szCs w:val="24"/>
          <w:lang w:val="en-GB"/>
        </w:rPr>
        <w:t>Clear instructions:</w:t>
      </w:r>
      <w:r w:rsidRPr="00116D0B">
        <w:rPr>
          <w:rFonts w:ascii="Garamond" w:eastAsia="Calibri" w:hAnsi="Garamond" w:cs="Calibri"/>
          <w:bCs/>
          <w:sz w:val="24"/>
          <w:szCs w:val="24"/>
          <w:lang w:val="en-GB"/>
        </w:rPr>
        <w:t xml:space="preserve"> </w:t>
      </w:r>
      <w:r w:rsidRPr="00116D0B">
        <w:rPr>
          <w:rFonts w:ascii="Garamond" w:eastAsia="Calibri" w:hAnsi="Garamond" w:cs="Calibri"/>
          <w:sz w:val="24"/>
          <w:szCs w:val="24"/>
          <w:lang w:val="en-GB"/>
        </w:rPr>
        <w:t xml:space="preserve">Clear and concise instructions at the beginning of the survey containing information on the purpose of the survey as well as guidelines for answering specific questions were included in the survey tool to guide respondents on how to complete the survey accurately. </w:t>
      </w:r>
    </w:p>
    <w:p w14:paraId="5643751C" w14:textId="77777777" w:rsidR="003A1DC2" w:rsidRPr="00116D0B" w:rsidRDefault="003A1DC2" w:rsidP="003A1DC2">
      <w:pPr>
        <w:widowControl/>
        <w:numPr>
          <w:ilvl w:val="0"/>
          <w:numId w:val="23"/>
        </w:numPr>
        <w:autoSpaceDE/>
        <w:autoSpaceDN/>
        <w:spacing w:after="160" w:line="259" w:lineRule="auto"/>
        <w:contextualSpacing/>
        <w:jc w:val="both"/>
        <w:rPr>
          <w:rFonts w:ascii="Garamond" w:eastAsia="Calibri" w:hAnsi="Garamond" w:cs="Calibri"/>
          <w:sz w:val="24"/>
          <w:szCs w:val="24"/>
          <w:lang w:val="en-GB"/>
        </w:rPr>
      </w:pPr>
      <w:r w:rsidRPr="00757A6C">
        <w:rPr>
          <w:rFonts w:ascii="Garamond" w:eastAsia="Calibri" w:hAnsi="Garamond" w:cs="Calibri"/>
          <w:b/>
          <w:sz w:val="24"/>
          <w:szCs w:val="24"/>
          <w:lang w:val="en-GB"/>
        </w:rPr>
        <w:t>Validating responses:</w:t>
      </w:r>
      <w:r w:rsidRPr="00116D0B">
        <w:rPr>
          <w:rFonts w:ascii="Garamond" w:eastAsia="Calibri" w:hAnsi="Garamond" w:cs="Calibri"/>
          <w:bCs/>
          <w:sz w:val="24"/>
          <w:szCs w:val="24"/>
          <w:lang w:val="en-GB"/>
        </w:rPr>
        <w:t xml:space="preserve"> </w:t>
      </w:r>
      <w:r w:rsidRPr="00116D0B">
        <w:rPr>
          <w:rFonts w:ascii="Garamond" w:eastAsia="Calibri" w:hAnsi="Garamond" w:cs="Calibri"/>
          <w:sz w:val="24"/>
          <w:szCs w:val="24"/>
          <w:lang w:val="en-GB"/>
        </w:rPr>
        <w:t xml:space="preserve">Validation checks were included in the survey to ensure the accuracy and consistency of responses. For example, skip patterns to route respondents to relevant questions based on their previous answers were included for some specific questions. </w:t>
      </w:r>
    </w:p>
    <w:p w14:paraId="74F092DA" w14:textId="77777777" w:rsidR="003A1DC2" w:rsidRPr="00116D0B" w:rsidRDefault="003A1DC2" w:rsidP="003A1DC2">
      <w:pPr>
        <w:widowControl/>
        <w:numPr>
          <w:ilvl w:val="0"/>
          <w:numId w:val="23"/>
        </w:numPr>
        <w:autoSpaceDE/>
        <w:autoSpaceDN/>
        <w:spacing w:after="160" w:line="259" w:lineRule="auto"/>
        <w:contextualSpacing/>
        <w:jc w:val="both"/>
        <w:rPr>
          <w:rFonts w:ascii="Garamond" w:eastAsia="Calibri" w:hAnsi="Garamond" w:cs="Calibri"/>
          <w:sz w:val="24"/>
          <w:szCs w:val="24"/>
          <w:lang w:val="en-GB"/>
        </w:rPr>
      </w:pPr>
      <w:r w:rsidRPr="00757A6C">
        <w:rPr>
          <w:rFonts w:ascii="Garamond" w:eastAsia="Calibri" w:hAnsi="Garamond" w:cs="Calibri"/>
          <w:b/>
          <w:sz w:val="24"/>
          <w:szCs w:val="24"/>
          <w:lang w:val="en-GB"/>
        </w:rPr>
        <w:t>Collection of field evidence:</w:t>
      </w:r>
      <w:r w:rsidRPr="00116D0B">
        <w:rPr>
          <w:rFonts w:ascii="Garamond" w:eastAsia="Calibri" w:hAnsi="Garamond" w:cs="Calibri"/>
          <w:bCs/>
          <w:sz w:val="24"/>
          <w:szCs w:val="24"/>
          <w:lang w:val="en-GB"/>
        </w:rPr>
        <w:t xml:space="preserve"> </w:t>
      </w:r>
      <w:r w:rsidRPr="00116D0B">
        <w:rPr>
          <w:rFonts w:ascii="Garamond" w:eastAsia="Calibri" w:hAnsi="Garamond" w:cs="Calibri"/>
          <w:sz w:val="24"/>
          <w:szCs w:val="24"/>
          <w:lang w:val="en-GB"/>
        </w:rPr>
        <w:t xml:space="preserve">For transparency and quality assurance, photographs of important facilities were taken with prior approval from the respondents or concerned community members. </w:t>
      </w:r>
    </w:p>
    <w:p w14:paraId="4C3EB3AD" w14:textId="77777777" w:rsidR="003A1DC2" w:rsidRPr="00116D0B" w:rsidRDefault="003A1DC2" w:rsidP="003A1DC2">
      <w:pPr>
        <w:widowControl/>
        <w:numPr>
          <w:ilvl w:val="0"/>
          <w:numId w:val="23"/>
        </w:numPr>
        <w:autoSpaceDE/>
        <w:autoSpaceDN/>
        <w:spacing w:after="160" w:line="259" w:lineRule="auto"/>
        <w:contextualSpacing/>
        <w:jc w:val="both"/>
        <w:rPr>
          <w:rFonts w:ascii="Garamond" w:eastAsia="Calibri" w:hAnsi="Garamond" w:cs="Calibri"/>
          <w:b/>
          <w:sz w:val="24"/>
          <w:szCs w:val="24"/>
          <w:lang w:val="en-GB"/>
        </w:rPr>
      </w:pPr>
      <w:r w:rsidRPr="00757A6C">
        <w:rPr>
          <w:rFonts w:ascii="Garamond" w:eastAsia="Calibri" w:hAnsi="Garamond" w:cs="Calibri"/>
          <w:b/>
          <w:sz w:val="24"/>
          <w:szCs w:val="24"/>
          <w:lang w:val="en-GB"/>
        </w:rPr>
        <w:t>Transcriptions:</w:t>
      </w:r>
      <w:r w:rsidRPr="00116D0B">
        <w:rPr>
          <w:rFonts w:ascii="Garamond" w:eastAsia="Calibri" w:hAnsi="Garamond" w:cs="Calibri"/>
          <w:bCs/>
          <w:sz w:val="24"/>
          <w:szCs w:val="24"/>
          <w:lang w:val="en-GB"/>
        </w:rPr>
        <w:t xml:space="preserve"> </w:t>
      </w:r>
      <w:r w:rsidRPr="00116D0B">
        <w:rPr>
          <w:rFonts w:ascii="Garamond" w:eastAsia="Calibri" w:hAnsi="Garamond" w:cs="Calibri"/>
          <w:sz w:val="24"/>
          <w:szCs w:val="24"/>
          <w:lang w:val="en-GB"/>
        </w:rPr>
        <w:t>Audio recordings of the KIIs and FGDs were taken to ensure that comprehensive information were available during the data consolidation and analysis. The transcriptions of the recorded KIIs and FGDs meetings were completed in a timely manner along with field notes</w:t>
      </w:r>
      <w:r w:rsidRPr="00116D0B">
        <w:rPr>
          <w:rFonts w:ascii="Garamond" w:eastAsia="Calibri" w:hAnsi="Garamond" w:cs="Calibri"/>
          <w:b/>
          <w:sz w:val="24"/>
          <w:szCs w:val="24"/>
          <w:lang w:val="en-GB"/>
        </w:rPr>
        <w:t xml:space="preserve">. </w:t>
      </w:r>
    </w:p>
    <w:p w14:paraId="1F1DAAAA" w14:textId="77777777" w:rsidR="003A1DC2" w:rsidRPr="00116D0B" w:rsidRDefault="003A1DC2" w:rsidP="000E35C5">
      <w:pPr>
        <w:spacing w:before="240" w:after="240" w:line="276" w:lineRule="auto"/>
        <w:jc w:val="both"/>
        <w:rPr>
          <w:rFonts w:ascii="Garamond" w:eastAsia="Malgun Gothic" w:hAnsi="Garamond" w:cs="Calibri"/>
          <w:b/>
          <w:sz w:val="24"/>
          <w:szCs w:val="24"/>
        </w:rPr>
      </w:pPr>
    </w:p>
    <w:p w14:paraId="26586106" w14:textId="77777777" w:rsidR="003D73E5" w:rsidRPr="00116D0B" w:rsidRDefault="003D73E5">
      <w:pPr>
        <w:rPr>
          <w:rFonts w:ascii="Garamond" w:hAnsi="Garamond"/>
          <w:b/>
          <w:bCs/>
          <w:color w:val="92D050"/>
          <w:sz w:val="24"/>
          <w:szCs w:val="24"/>
        </w:rPr>
      </w:pPr>
      <w:bookmarkStart w:id="57" w:name="_Toc164724109"/>
      <w:r w:rsidRPr="00116D0B">
        <w:rPr>
          <w:rFonts w:ascii="Garamond" w:hAnsi="Garamond"/>
          <w:color w:val="92D050"/>
          <w:sz w:val="24"/>
          <w:szCs w:val="24"/>
        </w:rPr>
        <w:br w:type="page"/>
      </w:r>
    </w:p>
    <w:p w14:paraId="0892F3F7" w14:textId="77777777" w:rsidR="000E35C5" w:rsidRPr="00116D0B" w:rsidRDefault="003A1DC2" w:rsidP="003A1DC2">
      <w:pPr>
        <w:pStyle w:val="Heading1"/>
      </w:pPr>
      <w:bookmarkStart w:id="58" w:name="_Toc166775421"/>
      <w:bookmarkStart w:id="59" w:name="_Toc143004035"/>
      <w:bookmarkEnd w:id="57"/>
      <w:r w:rsidRPr="00116D0B">
        <w:lastRenderedPageBreak/>
        <w:t>4.0</w:t>
      </w:r>
      <w:r w:rsidRPr="00116D0B">
        <w:tab/>
        <w:t>EVALUATION FINDINGS</w:t>
      </w:r>
      <w:bookmarkEnd w:id="58"/>
    </w:p>
    <w:p w14:paraId="497C0A79" w14:textId="48D24BA7" w:rsidR="003A1DC2" w:rsidRPr="00116D0B" w:rsidRDefault="003A1DC2" w:rsidP="003A1DC2">
      <w:pPr>
        <w:pStyle w:val="Heading1"/>
      </w:pPr>
      <w:bookmarkStart w:id="60" w:name="_Toc166775422"/>
      <w:r w:rsidRPr="00116D0B">
        <w:t>4.1</w:t>
      </w:r>
      <w:r w:rsidRPr="00116D0B">
        <w:tab/>
        <w:t>Demographic Characteristics Respondents</w:t>
      </w:r>
      <w:bookmarkEnd w:id="60"/>
    </w:p>
    <w:p w14:paraId="73E8B11B" w14:textId="087AB315"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A household survey was conducted across eight (8) wards in Michika LGA. The survey encompassed a total of 415 respondents, with 221 being male and 194 being female. The gender distribution of respondents shows a slight male majority, with 53.3% of respondents being male and 46.7% female. This distribution indicates a relatively balanced representation of both genders in the survey sample. </w:t>
      </w:r>
    </w:p>
    <w:p w14:paraId="495B3A1E" w14:textId="12C83A61" w:rsidR="003A1DC2" w:rsidRPr="00116D0B" w:rsidRDefault="003A1DC2" w:rsidP="00C27173">
      <w:pPr>
        <w:pStyle w:val="Caption"/>
      </w:pPr>
      <w:bookmarkStart w:id="61" w:name="_Toc166704028"/>
      <w:r w:rsidRPr="00116D0B">
        <w:t xml:space="preserve">Table </w:t>
      </w:r>
      <w:fldSimple w:instr=" SEQ Table \* ARABIC ">
        <w:r w:rsidR="00116D0B" w:rsidRPr="00116D0B">
          <w:rPr>
            <w:noProof/>
          </w:rPr>
          <w:t>5</w:t>
        </w:r>
      </w:fldSimple>
      <w:r w:rsidRPr="00116D0B">
        <w:t>: Gender of the respondents</w:t>
      </w:r>
      <w:bookmarkEnd w:id="61"/>
    </w:p>
    <w:tbl>
      <w:tblPr>
        <w:tblW w:w="7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174"/>
        <w:gridCol w:w="1327"/>
      </w:tblGrid>
      <w:tr w:rsidR="003A1DC2" w:rsidRPr="00116D0B" w14:paraId="24117746" w14:textId="77777777" w:rsidTr="003A1DC2">
        <w:trPr>
          <w:trHeight w:val="438"/>
        </w:trPr>
        <w:tc>
          <w:tcPr>
            <w:tcW w:w="4926" w:type="dxa"/>
            <w:shd w:val="clear" w:color="auto" w:fill="449E46"/>
            <w:noWrap/>
            <w:vAlign w:val="bottom"/>
            <w:hideMark/>
          </w:tcPr>
          <w:p w14:paraId="50449DD8"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Gender of respondents</w:t>
            </w:r>
          </w:p>
        </w:tc>
        <w:tc>
          <w:tcPr>
            <w:tcW w:w="1174" w:type="dxa"/>
            <w:shd w:val="clear" w:color="auto" w:fill="449E46"/>
            <w:noWrap/>
            <w:vAlign w:val="bottom"/>
            <w:hideMark/>
          </w:tcPr>
          <w:p w14:paraId="73683FBB" w14:textId="77777777" w:rsidR="003A1DC2" w:rsidRPr="00116D0B" w:rsidRDefault="003A1DC2" w:rsidP="003A1DC2">
            <w:pPr>
              <w:widowControl/>
              <w:autoSpaceDE/>
              <w:autoSpaceDN/>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w:t>
            </w:r>
          </w:p>
        </w:tc>
        <w:tc>
          <w:tcPr>
            <w:tcW w:w="1327" w:type="dxa"/>
            <w:shd w:val="clear" w:color="auto" w:fill="449E46"/>
            <w:noWrap/>
            <w:vAlign w:val="bottom"/>
            <w:hideMark/>
          </w:tcPr>
          <w:p w14:paraId="0161E817" w14:textId="77777777" w:rsidR="003A1DC2" w:rsidRPr="00116D0B" w:rsidRDefault="003A1DC2" w:rsidP="003A1DC2">
            <w:pPr>
              <w:widowControl/>
              <w:autoSpaceDE/>
              <w:autoSpaceDN/>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w:t>
            </w:r>
          </w:p>
        </w:tc>
      </w:tr>
      <w:tr w:rsidR="003A1DC2" w:rsidRPr="00116D0B" w14:paraId="15439B3E" w14:textId="77777777" w:rsidTr="003A1DC2">
        <w:trPr>
          <w:trHeight w:val="46"/>
        </w:trPr>
        <w:tc>
          <w:tcPr>
            <w:tcW w:w="4926" w:type="dxa"/>
            <w:noWrap/>
            <w:vAlign w:val="bottom"/>
            <w:hideMark/>
          </w:tcPr>
          <w:p w14:paraId="4D1985C2"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Female</w:t>
            </w:r>
          </w:p>
        </w:tc>
        <w:tc>
          <w:tcPr>
            <w:tcW w:w="1174" w:type="dxa"/>
            <w:noWrap/>
            <w:vAlign w:val="bottom"/>
            <w:hideMark/>
          </w:tcPr>
          <w:p w14:paraId="672D33D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194</w:t>
            </w:r>
          </w:p>
        </w:tc>
        <w:tc>
          <w:tcPr>
            <w:tcW w:w="1327" w:type="dxa"/>
            <w:noWrap/>
            <w:vAlign w:val="bottom"/>
            <w:hideMark/>
          </w:tcPr>
          <w:p w14:paraId="4C2A7E7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46.7%</w:t>
            </w:r>
          </w:p>
        </w:tc>
      </w:tr>
      <w:tr w:rsidR="003A1DC2" w:rsidRPr="00116D0B" w14:paraId="3A970338" w14:textId="77777777" w:rsidTr="003A1DC2">
        <w:trPr>
          <w:trHeight w:val="46"/>
        </w:trPr>
        <w:tc>
          <w:tcPr>
            <w:tcW w:w="4926" w:type="dxa"/>
            <w:noWrap/>
            <w:vAlign w:val="bottom"/>
            <w:hideMark/>
          </w:tcPr>
          <w:p w14:paraId="5DA7497A"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Male</w:t>
            </w:r>
          </w:p>
        </w:tc>
        <w:tc>
          <w:tcPr>
            <w:tcW w:w="1174" w:type="dxa"/>
            <w:noWrap/>
            <w:vAlign w:val="bottom"/>
            <w:hideMark/>
          </w:tcPr>
          <w:p w14:paraId="75BAB0B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221</w:t>
            </w:r>
          </w:p>
        </w:tc>
        <w:tc>
          <w:tcPr>
            <w:tcW w:w="1327" w:type="dxa"/>
            <w:noWrap/>
            <w:vAlign w:val="bottom"/>
            <w:hideMark/>
          </w:tcPr>
          <w:p w14:paraId="161B9104"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53.3%</w:t>
            </w:r>
          </w:p>
        </w:tc>
      </w:tr>
      <w:tr w:rsidR="003A1DC2" w:rsidRPr="00116D0B" w14:paraId="6ECD6DC1" w14:textId="77777777" w:rsidTr="003A1DC2">
        <w:trPr>
          <w:trHeight w:val="46"/>
        </w:trPr>
        <w:tc>
          <w:tcPr>
            <w:tcW w:w="4926" w:type="dxa"/>
            <w:noWrap/>
            <w:vAlign w:val="bottom"/>
            <w:hideMark/>
          </w:tcPr>
          <w:p w14:paraId="4E636119" w14:textId="09DE0429" w:rsidR="003A1DC2" w:rsidRPr="00116D0B" w:rsidRDefault="003A1DC2" w:rsidP="003A1DC2">
            <w:pPr>
              <w:widowControl/>
              <w:autoSpaceDE/>
              <w:autoSpaceDN/>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Total</w:t>
            </w:r>
          </w:p>
        </w:tc>
        <w:tc>
          <w:tcPr>
            <w:tcW w:w="1174" w:type="dxa"/>
            <w:noWrap/>
            <w:vAlign w:val="bottom"/>
            <w:hideMark/>
          </w:tcPr>
          <w:p w14:paraId="5590C92F" w14:textId="77777777" w:rsidR="003A1DC2" w:rsidRPr="00116D0B" w:rsidRDefault="003A1DC2" w:rsidP="003A1DC2">
            <w:pPr>
              <w:widowControl/>
              <w:autoSpaceDE/>
              <w:autoSpaceDN/>
              <w:jc w:val="center"/>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415</w:t>
            </w:r>
          </w:p>
        </w:tc>
        <w:tc>
          <w:tcPr>
            <w:tcW w:w="1327" w:type="dxa"/>
            <w:noWrap/>
            <w:vAlign w:val="bottom"/>
            <w:hideMark/>
          </w:tcPr>
          <w:p w14:paraId="2E82E665" w14:textId="77777777" w:rsidR="003A1DC2" w:rsidRPr="00116D0B" w:rsidRDefault="003A1DC2" w:rsidP="003A1DC2">
            <w:pPr>
              <w:widowControl/>
              <w:autoSpaceDE/>
              <w:autoSpaceDN/>
              <w:jc w:val="center"/>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100%</w:t>
            </w:r>
          </w:p>
        </w:tc>
      </w:tr>
    </w:tbl>
    <w:p w14:paraId="3010A223" w14:textId="776E5059"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Regarding the age distribution of the respondents, the findings revealed that the majority of the respondents (55.2%) were between the ages of 36-60 years, indicating a significant presence of middle-aged individuals. Young adults (aged 18-35 years) constituted 36% of the respondents, while the remaining 18.2% were 60 years and above.</w:t>
      </w:r>
    </w:p>
    <w:p w14:paraId="302D898F" w14:textId="03F4AF5F" w:rsidR="003A1DC2" w:rsidRPr="00116D0B" w:rsidRDefault="003A1DC2" w:rsidP="00C27173">
      <w:pPr>
        <w:pStyle w:val="Caption"/>
      </w:pPr>
      <w:bookmarkStart w:id="62" w:name="_Toc166704029"/>
      <w:r w:rsidRPr="00116D0B">
        <w:t xml:space="preserve">Table </w:t>
      </w:r>
      <w:fldSimple w:instr=" SEQ Table \* ARABIC ">
        <w:r w:rsidR="00116D0B" w:rsidRPr="00116D0B">
          <w:rPr>
            <w:noProof/>
          </w:rPr>
          <w:t>6</w:t>
        </w:r>
      </w:fldSimple>
      <w:r w:rsidRPr="00116D0B">
        <w:t>: Age distribution of respondents</w:t>
      </w:r>
      <w:bookmarkEnd w:id="62"/>
    </w:p>
    <w:tbl>
      <w:tblPr>
        <w:tblW w:w="8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1305"/>
        <w:gridCol w:w="1305"/>
        <w:gridCol w:w="1330"/>
      </w:tblGrid>
      <w:tr w:rsidR="003A1DC2" w:rsidRPr="00116D0B" w14:paraId="42B82895" w14:textId="77777777" w:rsidTr="003A1DC2">
        <w:trPr>
          <w:trHeight w:val="46"/>
        </w:trPr>
        <w:tc>
          <w:tcPr>
            <w:tcW w:w="4186" w:type="dxa"/>
            <w:shd w:val="clear" w:color="549E39" w:fill="549E39"/>
            <w:noWrap/>
            <w:vAlign w:val="bottom"/>
            <w:hideMark/>
          </w:tcPr>
          <w:p w14:paraId="0105593F"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Age range of respondents</w:t>
            </w:r>
          </w:p>
        </w:tc>
        <w:tc>
          <w:tcPr>
            <w:tcW w:w="1305" w:type="dxa"/>
            <w:shd w:val="clear" w:color="549E39" w:fill="549E39"/>
            <w:noWrap/>
            <w:vAlign w:val="bottom"/>
            <w:hideMark/>
          </w:tcPr>
          <w:p w14:paraId="453D82F4" w14:textId="77777777" w:rsidR="003A1DC2" w:rsidRPr="00116D0B" w:rsidRDefault="003A1DC2" w:rsidP="003A1DC2">
            <w:pPr>
              <w:widowControl/>
              <w:autoSpaceDE/>
              <w:autoSpaceDN/>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Female</w:t>
            </w:r>
          </w:p>
        </w:tc>
        <w:tc>
          <w:tcPr>
            <w:tcW w:w="1305" w:type="dxa"/>
            <w:shd w:val="clear" w:color="549E39" w:fill="549E39"/>
            <w:noWrap/>
            <w:vAlign w:val="bottom"/>
            <w:hideMark/>
          </w:tcPr>
          <w:p w14:paraId="63D5A5E7" w14:textId="77777777" w:rsidR="003A1DC2" w:rsidRPr="00116D0B" w:rsidRDefault="003A1DC2" w:rsidP="003A1DC2">
            <w:pPr>
              <w:widowControl/>
              <w:autoSpaceDE/>
              <w:autoSpaceDN/>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Male</w:t>
            </w:r>
          </w:p>
        </w:tc>
        <w:tc>
          <w:tcPr>
            <w:tcW w:w="1330" w:type="dxa"/>
            <w:shd w:val="clear" w:color="549E39" w:fill="549E39"/>
            <w:vAlign w:val="bottom"/>
            <w:hideMark/>
          </w:tcPr>
          <w:p w14:paraId="164A7D5D" w14:textId="4CCB1B38"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Total</w:t>
            </w:r>
          </w:p>
        </w:tc>
      </w:tr>
      <w:tr w:rsidR="003A1DC2" w:rsidRPr="00116D0B" w14:paraId="0A494DAC" w14:textId="77777777" w:rsidTr="003A1DC2">
        <w:trPr>
          <w:trHeight w:val="46"/>
        </w:trPr>
        <w:tc>
          <w:tcPr>
            <w:tcW w:w="4186" w:type="dxa"/>
            <w:noWrap/>
            <w:vAlign w:val="bottom"/>
            <w:hideMark/>
          </w:tcPr>
          <w:p w14:paraId="2DF9C721" w14:textId="6EDB90A8"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18-35years</w:t>
            </w:r>
          </w:p>
        </w:tc>
        <w:tc>
          <w:tcPr>
            <w:tcW w:w="1305" w:type="dxa"/>
            <w:noWrap/>
            <w:vAlign w:val="bottom"/>
            <w:hideMark/>
          </w:tcPr>
          <w:p w14:paraId="6258FF2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49.5%</w:t>
            </w:r>
          </w:p>
        </w:tc>
        <w:tc>
          <w:tcPr>
            <w:tcW w:w="1305" w:type="dxa"/>
            <w:noWrap/>
            <w:vAlign w:val="bottom"/>
            <w:hideMark/>
          </w:tcPr>
          <w:p w14:paraId="0B413D8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25.3%</w:t>
            </w:r>
          </w:p>
        </w:tc>
        <w:tc>
          <w:tcPr>
            <w:tcW w:w="1330" w:type="dxa"/>
            <w:noWrap/>
            <w:vAlign w:val="bottom"/>
            <w:hideMark/>
          </w:tcPr>
          <w:p w14:paraId="60E347E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36.6%</w:t>
            </w:r>
          </w:p>
        </w:tc>
      </w:tr>
      <w:tr w:rsidR="003A1DC2" w:rsidRPr="00116D0B" w14:paraId="7C5D57A3" w14:textId="77777777" w:rsidTr="003A1DC2">
        <w:trPr>
          <w:trHeight w:val="46"/>
        </w:trPr>
        <w:tc>
          <w:tcPr>
            <w:tcW w:w="4186" w:type="dxa"/>
            <w:noWrap/>
            <w:vAlign w:val="bottom"/>
            <w:hideMark/>
          </w:tcPr>
          <w:p w14:paraId="3935652D" w14:textId="1BFDEA9F"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36-60years</w:t>
            </w:r>
          </w:p>
        </w:tc>
        <w:tc>
          <w:tcPr>
            <w:tcW w:w="1305" w:type="dxa"/>
            <w:noWrap/>
            <w:vAlign w:val="bottom"/>
            <w:hideMark/>
          </w:tcPr>
          <w:p w14:paraId="507730D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46.4%</w:t>
            </w:r>
          </w:p>
        </w:tc>
        <w:tc>
          <w:tcPr>
            <w:tcW w:w="1305" w:type="dxa"/>
            <w:noWrap/>
            <w:vAlign w:val="bottom"/>
            <w:hideMark/>
          </w:tcPr>
          <w:p w14:paraId="0799522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62.9%</w:t>
            </w:r>
          </w:p>
        </w:tc>
        <w:tc>
          <w:tcPr>
            <w:tcW w:w="1330" w:type="dxa"/>
            <w:noWrap/>
            <w:vAlign w:val="bottom"/>
            <w:hideMark/>
          </w:tcPr>
          <w:p w14:paraId="1FF10519"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55.2%</w:t>
            </w:r>
          </w:p>
        </w:tc>
      </w:tr>
      <w:tr w:rsidR="003A1DC2" w:rsidRPr="00116D0B" w14:paraId="092EEF8B" w14:textId="77777777" w:rsidTr="003A1DC2">
        <w:trPr>
          <w:trHeight w:val="46"/>
        </w:trPr>
        <w:tc>
          <w:tcPr>
            <w:tcW w:w="4186" w:type="dxa"/>
            <w:noWrap/>
            <w:vAlign w:val="bottom"/>
            <w:hideMark/>
          </w:tcPr>
          <w:p w14:paraId="23F7F3F7" w14:textId="28BB79AB"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Above 60years</w:t>
            </w:r>
          </w:p>
        </w:tc>
        <w:tc>
          <w:tcPr>
            <w:tcW w:w="1305" w:type="dxa"/>
            <w:noWrap/>
            <w:vAlign w:val="bottom"/>
            <w:hideMark/>
          </w:tcPr>
          <w:p w14:paraId="7A5705F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4.1%</w:t>
            </w:r>
          </w:p>
        </w:tc>
        <w:tc>
          <w:tcPr>
            <w:tcW w:w="1305" w:type="dxa"/>
            <w:noWrap/>
            <w:vAlign w:val="bottom"/>
            <w:hideMark/>
          </w:tcPr>
          <w:p w14:paraId="778DFB79"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11.8%</w:t>
            </w:r>
          </w:p>
        </w:tc>
        <w:tc>
          <w:tcPr>
            <w:tcW w:w="1330" w:type="dxa"/>
            <w:noWrap/>
            <w:vAlign w:val="bottom"/>
            <w:hideMark/>
          </w:tcPr>
          <w:p w14:paraId="1CF54A4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8.2%</w:t>
            </w:r>
          </w:p>
        </w:tc>
      </w:tr>
      <w:tr w:rsidR="003A1DC2" w:rsidRPr="00116D0B" w14:paraId="34F779F2" w14:textId="77777777" w:rsidTr="003A1DC2">
        <w:trPr>
          <w:trHeight w:val="46"/>
        </w:trPr>
        <w:tc>
          <w:tcPr>
            <w:tcW w:w="4186" w:type="dxa"/>
            <w:noWrap/>
            <w:vAlign w:val="bottom"/>
            <w:hideMark/>
          </w:tcPr>
          <w:p w14:paraId="68A85CFE" w14:textId="0A19AD0E" w:rsidR="003A1DC2" w:rsidRPr="00116D0B" w:rsidRDefault="003A1DC2" w:rsidP="003A1DC2">
            <w:pPr>
              <w:widowControl/>
              <w:autoSpaceDE/>
              <w:autoSpaceDN/>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Total</w:t>
            </w:r>
          </w:p>
        </w:tc>
        <w:tc>
          <w:tcPr>
            <w:tcW w:w="1305" w:type="dxa"/>
            <w:noWrap/>
            <w:vAlign w:val="bottom"/>
            <w:hideMark/>
          </w:tcPr>
          <w:p w14:paraId="1E0470A4" w14:textId="77777777" w:rsidR="003A1DC2" w:rsidRPr="00116D0B" w:rsidRDefault="003A1DC2" w:rsidP="003A1DC2">
            <w:pPr>
              <w:widowControl/>
              <w:autoSpaceDE/>
              <w:autoSpaceDN/>
              <w:jc w:val="center"/>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100.0%</w:t>
            </w:r>
          </w:p>
        </w:tc>
        <w:tc>
          <w:tcPr>
            <w:tcW w:w="1305" w:type="dxa"/>
            <w:noWrap/>
            <w:vAlign w:val="bottom"/>
            <w:hideMark/>
          </w:tcPr>
          <w:p w14:paraId="2B61FA6D" w14:textId="77777777" w:rsidR="003A1DC2" w:rsidRPr="00116D0B" w:rsidRDefault="003A1DC2" w:rsidP="003A1DC2">
            <w:pPr>
              <w:widowControl/>
              <w:autoSpaceDE/>
              <w:autoSpaceDN/>
              <w:jc w:val="center"/>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100.0%</w:t>
            </w:r>
          </w:p>
        </w:tc>
        <w:tc>
          <w:tcPr>
            <w:tcW w:w="1330" w:type="dxa"/>
            <w:noWrap/>
            <w:vAlign w:val="bottom"/>
            <w:hideMark/>
          </w:tcPr>
          <w:p w14:paraId="68D0FFF0" w14:textId="77777777" w:rsidR="003A1DC2" w:rsidRPr="00116D0B" w:rsidRDefault="003A1DC2" w:rsidP="003A1DC2">
            <w:pPr>
              <w:widowControl/>
              <w:autoSpaceDE/>
              <w:autoSpaceDN/>
              <w:jc w:val="center"/>
              <w:rPr>
                <w:rFonts w:ascii="Garamond" w:eastAsia="Times New Roman" w:hAnsi="Garamond" w:cs="Calibri"/>
                <w:b/>
                <w:bCs/>
                <w:color w:val="000000"/>
                <w:sz w:val="24"/>
                <w:szCs w:val="24"/>
                <w:lang w:val="en-GB" w:eastAsia="en-GB"/>
              </w:rPr>
            </w:pPr>
            <w:r w:rsidRPr="00116D0B">
              <w:rPr>
                <w:rFonts w:ascii="Garamond" w:eastAsia="Times New Roman" w:hAnsi="Garamond" w:cs="Calibri"/>
                <w:b/>
                <w:bCs/>
                <w:color w:val="000000"/>
                <w:sz w:val="24"/>
                <w:szCs w:val="24"/>
                <w:lang w:val="en-GB" w:eastAsia="en-GB"/>
              </w:rPr>
              <w:t>100.0%</w:t>
            </w:r>
          </w:p>
        </w:tc>
      </w:tr>
    </w:tbl>
    <w:p w14:paraId="2BF9B7C2" w14:textId="4F4AFD8A"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In terms of the marital status of respondents, the findings revealed that the majority (71.1%) of respondents were married, 18.6% were single, widowed individuals comprised 6.0%, while the remaining 3.1% and 1.2% reported being divorced and separated, respectively, as shown in Table 7.</w:t>
      </w:r>
    </w:p>
    <w:p w14:paraId="041F147E" w14:textId="7644CFB8" w:rsidR="003A1DC2" w:rsidRPr="00116D0B" w:rsidRDefault="003A1DC2" w:rsidP="00C27173">
      <w:pPr>
        <w:pStyle w:val="Caption"/>
      </w:pPr>
      <w:bookmarkStart w:id="63" w:name="_Toc166704030"/>
      <w:r w:rsidRPr="00116D0B">
        <w:t xml:space="preserve">Table </w:t>
      </w:r>
      <w:fldSimple w:instr=" SEQ Table \* ARABIC ">
        <w:r w:rsidR="00116D0B" w:rsidRPr="00116D0B">
          <w:rPr>
            <w:noProof/>
          </w:rPr>
          <w:t>7</w:t>
        </w:r>
      </w:fldSimple>
      <w:r w:rsidRPr="00116D0B">
        <w:t>: Respondents marital status</w:t>
      </w:r>
      <w:bookmarkEnd w:id="63"/>
    </w:p>
    <w:tbl>
      <w:tblPr>
        <w:tblW w:w="6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969"/>
        <w:gridCol w:w="942"/>
        <w:gridCol w:w="960"/>
      </w:tblGrid>
      <w:tr w:rsidR="003A1DC2" w:rsidRPr="00116D0B" w14:paraId="3BAA8EDB" w14:textId="77777777" w:rsidTr="003A1DC2">
        <w:trPr>
          <w:trHeight w:val="197"/>
        </w:trPr>
        <w:tc>
          <w:tcPr>
            <w:tcW w:w="3320" w:type="dxa"/>
            <w:shd w:val="clear" w:color="549E39" w:fill="549E39"/>
            <w:noWrap/>
            <w:vAlign w:val="bottom"/>
            <w:hideMark/>
          </w:tcPr>
          <w:p w14:paraId="260B4F91"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Marital Status of respondents</w:t>
            </w:r>
          </w:p>
        </w:tc>
        <w:tc>
          <w:tcPr>
            <w:tcW w:w="969" w:type="dxa"/>
            <w:shd w:val="clear" w:color="549E39" w:fill="549E39"/>
            <w:noWrap/>
            <w:vAlign w:val="bottom"/>
            <w:hideMark/>
          </w:tcPr>
          <w:p w14:paraId="1AF82919"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Female</w:t>
            </w:r>
          </w:p>
        </w:tc>
        <w:tc>
          <w:tcPr>
            <w:tcW w:w="942" w:type="dxa"/>
            <w:shd w:val="clear" w:color="549E39" w:fill="549E39"/>
            <w:noWrap/>
            <w:vAlign w:val="bottom"/>
            <w:hideMark/>
          </w:tcPr>
          <w:p w14:paraId="3D4D5922"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Male</w:t>
            </w:r>
          </w:p>
        </w:tc>
        <w:tc>
          <w:tcPr>
            <w:tcW w:w="960" w:type="dxa"/>
            <w:shd w:val="clear" w:color="549E39" w:fill="549E39"/>
            <w:vAlign w:val="bottom"/>
            <w:hideMark/>
          </w:tcPr>
          <w:p w14:paraId="5B6137E7" w14:textId="3479199F" w:rsidR="003A1DC2" w:rsidRPr="00116D0B" w:rsidRDefault="003A1DC2" w:rsidP="003A1DC2">
            <w:pPr>
              <w:widowControl/>
              <w:autoSpaceDE/>
              <w:autoSpaceDN/>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Total</w:t>
            </w:r>
          </w:p>
        </w:tc>
      </w:tr>
      <w:tr w:rsidR="003A1DC2" w:rsidRPr="00116D0B" w14:paraId="16198C65" w14:textId="77777777" w:rsidTr="003A1DC2">
        <w:trPr>
          <w:trHeight w:val="300"/>
        </w:trPr>
        <w:tc>
          <w:tcPr>
            <w:tcW w:w="3320" w:type="dxa"/>
            <w:noWrap/>
            <w:vAlign w:val="bottom"/>
            <w:hideMark/>
          </w:tcPr>
          <w:p w14:paraId="19373DA7"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Married</w:t>
            </w:r>
          </w:p>
        </w:tc>
        <w:tc>
          <w:tcPr>
            <w:tcW w:w="969" w:type="dxa"/>
            <w:noWrap/>
            <w:vAlign w:val="bottom"/>
            <w:hideMark/>
          </w:tcPr>
          <w:p w14:paraId="7744FE31"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63.4%</w:t>
            </w:r>
          </w:p>
        </w:tc>
        <w:tc>
          <w:tcPr>
            <w:tcW w:w="942" w:type="dxa"/>
            <w:noWrap/>
            <w:vAlign w:val="bottom"/>
            <w:hideMark/>
          </w:tcPr>
          <w:p w14:paraId="2CD8856E"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77.8%</w:t>
            </w:r>
          </w:p>
        </w:tc>
        <w:tc>
          <w:tcPr>
            <w:tcW w:w="960" w:type="dxa"/>
            <w:noWrap/>
            <w:vAlign w:val="bottom"/>
            <w:hideMark/>
          </w:tcPr>
          <w:p w14:paraId="09838888"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71.1%</w:t>
            </w:r>
          </w:p>
        </w:tc>
      </w:tr>
      <w:tr w:rsidR="003A1DC2" w:rsidRPr="00116D0B" w14:paraId="58F6A3DD" w14:textId="77777777" w:rsidTr="003A1DC2">
        <w:trPr>
          <w:trHeight w:val="300"/>
        </w:trPr>
        <w:tc>
          <w:tcPr>
            <w:tcW w:w="3320" w:type="dxa"/>
            <w:noWrap/>
            <w:vAlign w:val="bottom"/>
            <w:hideMark/>
          </w:tcPr>
          <w:p w14:paraId="6D2BC100"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Single</w:t>
            </w:r>
          </w:p>
        </w:tc>
        <w:tc>
          <w:tcPr>
            <w:tcW w:w="969" w:type="dxa"/>
            <w:noWrap/>
            <w:vAlign w:val="bottom"/>
            <w:hideMark/>
          </w:tcPr>
          <w:p w14:paraId="429813B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19.1%</w:t>
            </w:r>
          </w:p>
        </w:tc>
        <w:tc>
          <w:tcPr>
            <w:tcW w:w="942" w:type="dxa"/>
            <w:noWrap/>
            <w:vAlign w:val="bottom"/>
            <w:hideMark/>
          </w:tcPr>
          <w:p w14:paraId="5F3815F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18.1%</w:t>
            </w:r>
          </w:p>
        </w:tc>
        <w:tc>
          <w:tcPr>
            <w:tcW w:w="960" w:type="dxa"/>
            <w:noWrap/>
            <w:vAlign w:val="bottom"/>
            <w:hideMark/>
          </w:tcPr>
          <w:p w14:paraId="05B0569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18.6%</w:t>
            </w:r>
          </w:p>
        </w:tc>
      </w:tr>
      <w:tr w:rsidR="003A1DC2" w:rsidRPr="00116D0B" w14:paraId="055701CF" w14:textId="77777777" w:rsidTr="003A1DC2">
        <w:trPr>
          <w:trHeight w:val="300"/>
        </w:trPr>
        <w:tc>
          <w:tcPr>
            <w:tcW w:w="3320" w:type="dxa"/>
            <w:noWrap/>
            <w:vAlign w:val="bottom"/>
            <w:hideMark/>
          </w:tcPr>
          <w:p w14:paraId="08F93A4B"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Widowed</w:t>
            </w:r>
          </w:p>
        </w:tc>
        <w:tc>
          <w:tcPr>
            <w:tcW w:w="969" w:type="dxa"/>
            <w:noWrap/>
            <w:vAlign w:val="bottom"/>
            <w:hideMark/>
          </w:tcPr>
          <w:p w14:paraId="5C3DFD0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11.3%</w:t>
            </w:r>
          </w:p>
        </w:tc>
        <w:tc>
          <w:tcPr>
            <w:tcW w:w="942" w:type="dxa"/>
            <w:noWrap/>
            <w:vAlign w:val="bottom"/>
            <w:hideMark/>
          </w:tcPr>
          <w:p w14:paraId="5120CEB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1.4%</w:t>
            </w:r>
          </w:p>
        </w:tc>
        <w:tc>
          <w:tcPr>
            <w:tcW w:w="960" w:type="dxa"/>
            <w:noWrap/>
            <w:vAlign w:val="bottom"/>
            <w:hideMark/>
          </w:tcPr>
          <w:p w14:paraId="72A6D56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6.0%</w:t>
            </w:r>
          </w:p>
        </w:tc>
      </w:tr>
      <w:tr w:rsidR="003A1DC2" w:rsidRPr="00116D0B" w14:paraId="3DA02DEB" w14:textId="77777777" w:rsidTr="003A1DC2">
        <w:trPr>
          <w:trHeight w:val="300"/>
        </w:trPr>
        <w:tc>
          <w:tcPr>
            <w:tcW w:w="3320" w:type="dxa"/>
            <w:noWrap/>
            <w:vAlign w:val="bottom"/>
            <w:hideMark/>
          </w:tcPr>
          <w:p w14:paraId="75ED06B0"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Divorced</w:t>
            </w:r>
          </w:p>
        </w:tc>
        <w:tc>
          <w:tcPr>
            <w:tcW w:w="969" w:type="dxa"/>
            <w:noWrap/>
            <w:vAlign w:val="bottom"/>
            <w:hideMark/>
          </w:tcPr>
          <w:p w14:paraId="21267963"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5.7%</w:t>
            </w:r>
          </w:p>
        </w:tc>
        <w:tc>
          <w:tcPr>
            <w:tcW w:w="942" w:type="dxa"/>
            <w:noWrap/>
            <w:vAlign w:val="bottom"/>
            <w:hideMark/>
          </w:tcPr>
          <w:p w14:paraId="5C0B90B9"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0.9%</w:t>
            </w:r>
          </w:p>
        </w:tc>
        <w:tc>
          <w:tcPr>
            <w:tcW w:w="960" w:type="dxa"/>
            <w:noWrap/>
            <w:vAlign w:val="bottom"/>
            <w:hideMark/>
          </w:tcPr>
          <w:p w14:paraId="42BBE72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3.1%</w:t>
            </w:r>
          </w:p>
        </w:tc>
      </w:tr>
      <w:tr w:rsidR="003A1DC2" w:rsidRPr="00116D0B" w14:paraId="4F573CE9" w14:textId="77777777" w:rsidTr="003A1DC2">
        <w:trPr>
          <w:trHeight w:val="300"/>
        </w:trPr>
        <w:tc>
          <w:tcPr>
            <w:tcW w:w="3320" w:type="dxa"/>
            <w:noWrap/>
            <w:vAlign w:val="bottom"/>
            <w:hideMark/>
          </w:tcPr>
          <w:p w14:paraId="450E6D48"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Separated</w:t>
            </w:r>
          </w:p>
        </w:tc>
        <w:tc>
          <w:tcPr>
            <w:tcW w:w="969" w:type="dxa"/>
            <w:noWrap/>
            <w:vAlign w:val="bottom"/>
            <w:hideMark/>
          </w:tcPr>
          <w:p w14:paraId="558345F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0.5%</w:t>
            </w:r>
          </w:p>
        </w:tc>
        <w:tc>
          <w:tcPr>
            <w:tcW w:w="942" w:type="dxa"/>
            <w:noWrap/>
            <w:vAlign w:val="bottom"/>
            <w:hideMark/>
          </w:tcPr>
          <w:p w14:paraId="2820C4C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w:t>
            </w:r>
          </w:p>
        </w:tc>
        <w:tc>
          <w:tcPr>
            <w:tcW w:w="960" w:type="dxa"/>
            <w:noWrap/>
            <w:vAlign w:val="bottom"/>
            <w:hideMark/>
          </w:tcPr>
          <w:p w14:paraId="0C2A56F9"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1.2%</w:t>
            </w:r>
          </w:p>
        </w:tc>
      </w:tr>
    </w:tbl>
    <w:p w14:paraId="62D71550" w14:textId="5DFC312B" w:rsidR="003A1DC2" w:rsidRPr="00116D0B" w:rsidRDefault="003A1DC2" w:rsidP="003A1DC2">
      <w:pPr>
        <w:widowControl/>
        <w:autoSpaceDE/>
        <w:autoSpaceDN/>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lang w:val="en-GB"/>
        </w:rPr>
        <w:t xml:space="preserve">The educational attainment of respondents varies, with the majority having completed secondary education (42.7%), followed by primary education (19.5%) and university/college education (19.5%). A smaller proportion reported tertiary school completion (8.7%), while 7.5% had no formal education and only 1.9% had vocational school/training. </w:t>
      </w:r>
      <w:r w:rsidRPr="00116D0B">
        <w:rPr>
          <w:rFonts w:ascii="Garamond" w:eastAsia="Calibri" w:hAnsi="Garamond" w:cs="Calibri"/>
          <w:sz w:val="24"/>
          <w:szCs w:val="24"/>
        </w:rPr>
        <w:t>See Table 8 for further details:</w:t>
      </w:r>
    </w:p>
    <w:p w14:paraId="130F20BB" w14:textId="2ECCA142" w:rsidR="003A1DC2" w:rsidRPr="00116D0B" w:rsidRDefault="003A1DC2" w:rsidP="00C27173">
      <w:pPr>
        <w:pStyle w:val="Caption"/>
      </w:pPr>
      <w:bookmarkStart w:id="64" w:name="_Toc166704031"/>
      <w:r w:rsidRPr="00116D0B">
        <w:lastRenderedPageBreak/>
        <w:t xml:space="preserve">Table </w:t>
      </w:r>
      <w:fldSimple w:instr=" SEQ Table \* ARABIC ">
        <w:r w:rsidR="00116D0B" w:rsidRPr="00116D0B">
          <w:rPr>
            <w:noProof/>
          </w:rPr>
          <w:t>8</w:t>
        </w:r>
      </w:fldSimple>
      <w:r w:rsidRPr="00116D0B">
        <w:t>: Highest level of education</w:t>
      </w:r>
      <w:bookmarkEnd w:id="64"/>
    </w:p>
    <w:tbl>
      <w:tblPr>
        <w:tblpPr w:leftFromText="180" w:rightFromText="180" w:vertAnchor="page" w:horzAnchor="margin" w:tblpY="1842"/>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900"/>
        <w:gridCol w:w="810"/>
        <w:gridCol w:w="810"/>
        <w:gridCol w:w="990"/>
        <w:gridCol w:w="1080"/>
        <w:gridCol w:w="1087"/>
        <w:gridCol w:w="992"/>
        <w:gridCol w:w="993"/>
        <w:gridCol w:w="850"/>
      </w:tblGrid>
      <w:tr w:rsidR="003A1DC2" w:rsidRPr="00116D0B" w14:paraId="6916A33C" w14:textId="77777777" w:rsidTr="003A1DC2">
        <w:trPr>
          <w:cantSplit/>
          <w:trHeight w:val="1520"/>
        </w:trPr>
        <w:tc>
          <w:tcPr>
            <w:tcW w:w="1890" w:type="dxa"/>
            <w:shd w:val="clear" w:color="auto" w:fill="449E46"/>
            <w:noWrap/>
            <w:vAlign w:val="bottom"/>
            <w:hideMark/>
          </w:tcPr>
          <w:p w14:paraId="75A5F779" w14:textId="3E608093"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Highest level of education</w:t>
            </w:r>
          </w:p>
        </w:tc>
        <w:tc>
          <w:tcPr>
            <w:tcW w:w="900" w:type="dxa"/>
            <w:shd w:val="clear" w:color="auto" w:fill="449E46"/>
            <w:textDirection w:val="btLr"/>
            <w:vAlign w:val="bottom"/>
            <w:hideMark/>
          </w:tcPr>
          <w:p w14:paraId="7B13CBFF"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proofErr w:type="spellStart"/>
            <w:r w:rsidRPr="00116D0B">
              <w:rPr>
                <w:rFonts w:ascii="Garamond" w:eastAsia="Times New Roman" w:hAnsi="Garamond" w:cs="Calibri"/>
                <w:b/>
                <w:bCs/>
                <w:color w:val="FFFFFF"/>
                <w:sz w:val="24"/>
                <w:szCs w:val="24"/>
                <w:lang w:val="en-GB" w:eastAsia="en-GB"/>
              </w:rPr>
              <w:t>Garta</w:t>
            </w:r>
            <w:proofErr w:type="spellEnd"/>
            <w:r w:rsidRPr="00116D0B">
              <w:rPr>
                <w:rFonts w:ascii="Garamond" w:eastAsia="Times New Roman" w:hAnsi="Garamond" w:cs="Calibri"/>
                <w:b/>
                <w:bCs/>
                <w:color w:val="FFFFFF"/>
                <w:sz w:val="24"/>
                <w:szCs w:val="24"/>
                <w:lang w:val="en-GB" w:eastAsia="en-GB"/>
              </w:rPr>
              <w:t xml:space="preserve">/ </w:t>
            </w:r>
            <w:proofErr w:type="spellStart"/>
            <w:r w:rsidRPr="00116D0B">
              <w:rPr>
                <w:rFonts w:ascii="Garamond" w:eastAsia="Times New Roman" w:hAnsi="Garamond" w:cs="Calibri"/>
                <w:b/>
                <w:bCs/>
                <w:color w:val="FFFFFF"/>
                <w:sz w:val="24"/>
                <w:szCs w:val="24"/>
                <w:lang w:val="en-GB" w:eastAsia="en-GB"/>
              </w:rPr>
              <w:t>Ghunchi</w:t>
            </w:r>
            <w:proofErr w:type="spellEnd"/>
          </w:p>
        </w:tc>
        <w:tc>
          <w:tcPr>
            <w:tcW w:w="810" w:type="dxa"/>
            <w:shd w:val="clear" w:color="auto" w:fill="449E46"/>
            <w:noWrap/>
            <w:textDirection w:val="btLr"/>
            <w:vAlign w:val="bottom"/>
            <w:hideMark/>
          </w:tcPr>
          <w:p w14:paraId="4185FD55"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Madzi</w:t>
            </w:r>
          </w:p>
        </w:tc>
        <w:tc>
          <w:tcPr>
            <w:tcW w:w="810" w:type="dxa"/>
            <w:shd w:val="clear" w:color="auto" w:fill="449E46"/>
            <w:noWrap/>
            <w:textDirection w:val="btLr"/>
            <w:vAlign w:val="bottom"/>
            <w:hideMark/>
          </w:tcPr>
          <w:p w14:paraId="4C547DEB"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Michika II</w:t>
            </w:r>
          </w:p>
        </w:tc>
        <w:tc>
          <w:tcPr>
            <w:tcW w:w="990" w:type="dxa"/>
            <w:shd w:val="clear" w:color="auto" w:fill="449E46"/>
            <w:textDirection w:val="btLr"/>
            <w:vAlign w:val="bottom"/>
            <w:hideMark/>
          </w:tcPr>
          <w:p w14:paraId="606F8A9E"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proofErr w:type="spellStart"/>
            <w:r w:rsidRPr="00116D0B">
              <w:rPr>
                <w:rFonts w:ascii="Garamond" w:eastAsia="Times New Roman" w:hAnsi="Garamond" w:cs="Calibri"/>
                <w:b/>
                <w:bCs/>
                <w:color w:val="FFFFFF"/>
                <w:sz w:val="24"/>
                <w:szCs w:val="24"/>
                <w:lang w:val="en-GB" w:eastAsia="en-GB"/>
              </w:rPr>
              <w:t>Minkisi</w:t>
            </w:r>
            <w:proofErr w:type="spellEnd"/>
            <w:r w:rsidRPr="00116D0B">
              <w:rPr>
                <w:rFonts w:ascii="Garamond" w:eastAsia="Times New Roman" w:hAnsi="Garamond" w:cs="Calibri"/>
                <w:b/>
                <w:bCs/>
                <w:color w:val="FFFFFF"/>
                <w:sz w:val="24"/>
                <w:szCs w:val="24"/>
                <w:lang w:val="en-GB" w:eastAsia="en-GB"/>
              </w:rPr>
              <w:t xml:space="preserve">/ </w:t>
            </w:r>
            <w:proofErr w:type="spellStart"/>
            <w:r w:rsidRPr="00116D0B">
              <w:rPr>
                <w:rFonts w:ascii="Garamond" w:eastAsia="Times New Roman" w:hAnsi="Garamond" w:cs="Calibri"/>
                <w:b/>
                <w:bCs/>
                <w:color w:val="FFFFFF"/>
                <w:sz w:val="24"/>
                <w:szCs w:val="24"/>
                <w:lang w:val="en-GB" w:eastAsia="en-GB"/>
              </w:rPr>
              <w:t>Wuro</w:t>
            </w:r>
            <w:proofErr w:type="spellEnd"/>
            <w:r w:rsidRPr="00116D0B">
              <w:rPr>
                <w:rFonts w:ascii="Garamond" w:eastAsia="Times New Roman" w:hAnsi="Garamond" w:cs="Calibri"/>
                <w:b/>
                <w:bCs/>
                <w:color w:val="FFFFFF"/>
                <w:sz w:val="24"/>
                <w:szCs w:val="24"/>
                <w:lang w:val="en-GB" w:eastAsia="en-GB"/>
              </w:rPr>
              <w:t xml:space="preserve"> </w:t>
            </w:r>
            <w:proofErr w:type="spellStart"/>
            <w:r w:rsidRPr="00116D0B">
              <w:rPr>
                <w:rFonts w:ascii="Garamond" w:eastAsia="Times New Roman" w:hAnsi="Garamond" w:cs="Calibri"/>
                <w:b/>
                <w:bCs/>
                <w:color w:val="FFFFFF"/>
                <w:sz w:val="24"/>
                <w:szCs w:val="24"/>
                <w:lang w:val="en-GB" w:eastAsia="en-GB"/>
              </w:rPr>
              <w:t>Ngik</w:t>
            </w:r>
            <w:proofErr w:type="spellEnd"/>
          </w:p>
        </w:tc>
        <w:tc>
          <w:tcPr>
            <w:tcW w:w="1080" w:type="dxa"/>
            <w:shd w:val="clear" w:color="auto" w:fill="449E46"/>
            <w:noWrap/>
            <w:textDirection w:val="btLr"/>
            <w:vAlign w:val="bottom"/>
            <w:hideMark/>
          </w:tcPr>
          <w:p w14:paraId="3225BEF8"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proofErr w:type="spellStart"/>
            <w:r w:rsidRPr="00116D0B">
              <w:rPr>
                <w:rFonts w:ascii="Garamond" w:eastAsia="Times New Roman" w:hAnsi="Garamond" w:cs="Calibri"/>
                <w:b/>
                <w:bCs/>
                <w:color w:val="FFFFFF"/>
                <w:sz w:val="24"/>
                <w:szCs w:val="24"/>
                <w:lang w:val="en-GB" w:eastAsia="en-GB"/>
              </w:rPr>
              <w:t>Munkavicita</w:t>
            </w:r>
            <w:proofErr w:type="spellEnd"/>
          </w:p>
        </w:tc>
        <w:tc>
          <w:tcPr>
            <w:tcW w:w="1087" w:type="dxa"/>
            <w:shd w:val="clear" w:color="auto" w:fill="449E46"/>
            <w:textDirection w:val="btLr"/>
            <w:vAlign w:val="bottom"/>
            <w:hideMark/>
          </w:tcPr>
          <w:p w14:paraId="6D1BF553"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 xml:space="preserve">Sina/ </w:t>
            </w:r>
            <w:proofErr w:type="spellStart"/>
            <w:r w:rsidRPr="00116D0B">
              <w:rPr>
                <w:rFonts w:ascii="Garamond" w:eastAsia="Times New Roman" w:hAnsi="Garamond" w:cs="Calibri"/>
                <w:b/>
                <w:bCs/>
                <w:color w:val="FFFFFF"/>
                <w:sz w:val="24"/>
                <w:szCs w:val="24"/>
                <w:lang w:val="en-GB" w:eastAsia="en-GB"/>
              </w:rPr>
              <w:t>kamale</w:t>
            </w:r>
            <w:proofErr w:type="spellEnd"/>
            <w:r w:rsidRPr="00116D0B">
              <w:rPr>
                <w:rFonts w:ascii="Garamond" w:eastAsia="Times New Roman" w:hAnsi="Garamond" w:cs="Calibri"/>
                <w:b/>
                <w:bCs/>
                <w:color w:val="FFFFFF"/>
                <w:sz w:val="24"/>
                <w:szCs w:val="24"/>
                <w:lang w:val="en-GB" w:eastAsia="en-GB"/>
              </w:rPr>
              <w:t xml:space="preserve">/ </w:t>
            </w:r>
            <w:proofErr w:type="spellStart"/>
            <w:r w:rsidRPr="00116D0B">
              <w:rPr>
                <w:rFonts w:ascii="Garamond" w:eastAsia="Times New Roman" w:hAnsi="Garamond" w:cs="Calibri"/>
                <w:b/>
                <w:bCs/>
                <w:color w:val="FFFFFF"/>
                <w:sz w:val="24"/>
                <w:szCs w:val="24"/>
                <w:lang w:val="en-GB" w:eastAsia="en-GB"/>
              </w:rPr>
              <w:t>Kwande</w:t>
            </w:r>
            <w:proofErr w:type="spellEnd"/>
          </w:p>
        </w:tc>
        <w:tc>
          <w:tcPr>
            <w:tcW w:w="992" w:type="dxa"/>
            <w:shd w:val="clear" w:color="auto" w:fill="449E46"/>
            <w:textDirection w:val="btLr"/>
            <w:vAlign w:val="bottom"/>
            <w:hideMark/>
          </w:tcPr>
          <w:p w14:paraId="649F6B0F"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proofErr w:type="spellStart"/>
            <w:r w:rsidRPr="00116D0B">
              <w:rPr>
                <w:rFonts w:ascii="Garamond" w:eastAsia="Times New Roman" w:hAnsi="Garamond" w:cs="Calibri"/>
                <w:b/>
                <w:bCs/>
                <w:color w:val="FFFFFF"/>
                <w:sz w:val="24"/>
                <w:szCs w:val="24"/>
                <w:lang w:val="en-GB" w:eastAsia="en-GB"/>
              </w:rPr>
              <w:t>Tumbara</w:t>
            </w:r>
            <w:proofErr w:type="spellEnd"/>
            <w:r w:rsidRPr="00116D0B">
              <w:rPr>
                <w:rFonts w:ascii="Garamond" w:eastAsia="Times New Roman" w:hAnsi="Garamond" w:cs="Calibri"/>
                <w:b/>
                <w:bCs/>
                <w:color w:val="FFFFFF"/>
                <w:sz w:val="24"/>
                <w:szCs w:val="24"/>
                <w:lang w:val="en-GB" w:eastAsia="en-GB"/>
              </w:rPr>
              <w:t xml:space="preserve">/ </w:t>
            </w:r>
            <w:proofErr w:type="spellStart"/>
            <w:r w:rsidRPr="00116D0B">
              <w:rPr>
                <w:rFonts w:ascii="Garamond" w:eastAsia="Times New Roman" w:hAnsi="Garamond" w:cs="Calibri"/>
                <w:b/>
                <w:bCs/>
                <w:color w:val="FFFFFF"/>
                <w:sz w:val="24"/>
                <w:szCs w:val="24"/>
                <w:lang w:val="en-GB" w:eastAsia="en-GB"/>
              </w:rPr>
              <w:t>Ngabili</w:t>
            </w:r>
            <w:proofErr w:type="spellEnd"/>
          </w:p>
        </w:tc>
        <w:tc>
          <w:tcPr>
            <w:tcW w:w="993" w:type="dxa"/>
            <w:shd w:val="clear" w:color="auto" w:fill="449E46"/>
            <w:textDirection w:val="btLr"/>
            <w:vAlign w:val="bottom"/>
            <w:hideMark/>
          </w:tcPr>
          <w:p w14:paraId="52DB0CAB" w14:textId="77777777" w:rsidR="003A1DC2" w:rsidRPr="00116D0B" w:rsidRDefault="003A1DC2" w:rsidP="003A1DC2">
            <w:pPr>
              <w:widowControl/>
              <w:autoSpaceDE/>
              <w:autoSpaceDN/>
              <w:ind w:left="113" w:right="113"/>
              <w:jc w:val="center"/>
              <w:rPr>
                <w:rFonts w:ascii="Garamond" w:eastAsia="Times New Roman" w:hAnsi="Garamond" w:cs="Calibri"/>
                <w:b/>
                <w:bCs/>
                <w:color w:val="FFFFFF"/>
                <w:sz w:val="24"/>
                <w:szCs w:val="24"/>
                <w:lang w:val="en-GB" w:eastAsia="en-GB"/>
              </w:rPr>
            </w:pPr>
            <w:proofErr w:type="spellStart"/>
            <w:r w:rsidRPr="00116D0B">
              <w:rPr>
                <w:rFonts w:ascii="Garamond" w:eastAsia="Times New Roman" w:hAnsi="Garamond" w:cs="Calibri"/>
                <w:b/>
                <w:bCs/>
                <w:color w:val="FFFFFF"/>
                <w:sz w:val="24"/>
                <w:szCs w:val="24"/>
                <w:lang w:val="en-GB" w:eastAsia="en-GB"/>
              </w:rPr>
              <w:t>Wamblimi</w:t>
            </w:r>
            <w:proofErr w:type="spellEnd"/>
            <w:r w:rsidRPr="00116D0B">
              <w:rPr>
                <w:rFonts w:ascii="Garamond" w:eastAsia="Times New Roman" w:hAnsi="Garamond" w:cs="Calibri"/>
                <w:b/>
                <w:bCs/>
                <w:color w:val="FFFFFF"/>
                <w:sz w:val="24"/>
                <w:szCs w:val="24"/>
                <w:lang w:val="en-GB" w:eastAsia="en-GB"/>
              </w:rPr>
              <w:t>/ Tilli</w:t>
            </w:r>
          </w:p>
        </w:tc>
        <w:tc>
          <w:tcPr>
            <w:tcW w:w="850" w:type="dxa"/>
            <w:shd w:val="clear" w:color="auto" w:fill="449E46"/>
            <w:noWrap/>
            <w:vAlign w:val="bottom"/>
            <w:hideMark/>
          </w:tcPr>
          <w:p w14:paraId="3881DD61" w14:textId="77777777" w:rsidR="003A1DC2" w:rsidRPr="00116D0B" w:rsidRDefault="003A1DC2" w:rsidP="003A1DC2">
            <w:pPr>
              <w:widowControl/>
              <w:autoSpaceDE/>
              <w:autoSpaceDN/>
              <w:rPr>
                <w:rFonts w:ascii="Garamond" w:eastAsia="Times New Roman" w:hAnsi="Garamond" w:cs="Calibri"/>
                <w:b/>
                <w:bCs/>
                <w:color w:val="FFFFFF"/>
                <w:sz w:val="24"/>
                <w:szCs w:val="24"/>
                <w:lang w:val="en-GB" w:eastAsia="en-GB"/>
              </w:rPr>
            </w:pPr>
            <w:r w:rsidRPr="00116D0B">
              <w:rPr>
                <w:rFonts w:ascii="Garamond" w:eastAsia="Times New Roman" w:hAnsi="Garamond" w:cs="Calibri"/>
                <w:b/>
                <w:bCs/>
                <w:color w:val="FFFFFF"/>
                <w:sz w:val="24"/>
                <w:szCs w:val="24"/>
                <w:lang w:val="en-GB" w:eastAsia="en-GB"/>
              </w:rPr>
              <w:t>Total</w:t>
            </w:r>
          </w:p>
        </w:tc>
      </w:tr>
      <w:tr w:rsidR="003A1DC2" w:rsidRPr="00116D0B" w14:paraId="4D7A1A60" w14:textId="77777777" w:rsidTr="003A1DC2">
        <w:trPr>
          <w:trHeight w:val="300"/>
        </w:trPr>
        <w:tc>
          <w:tcPr>
            <w:tcW w:w="1890" w:type="dxa"/>
            <w:vAlign w:val="bottom"/>
            <w:hideMark/>
          </w:tcPr>
          <w:p w14:paraId="24811C33"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None</w:t>
            </w:r>
          </w:p>
        </w:tc>
        <w:tc>
          <w:tcPr>
            <w:tcW w:w="900" w:type="dxa"/>
            <w:noWrap/>
            <w:vAlign w:val="bottom"/>
            <w:hideMark/>
          </w:tcPr>
          <w:p w14:paraId="08239D7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2.3%</w:t>
            </w:r>
          </w:p>
        </w:tc>
        <w:tc>
          <w:tcPr>
            <w:tcW w:w="810" w:type="dxa"/>
            <w:noWrap/>
            <w:vAlign w:val="bottom"/>
            <w:hideMark/>
          </w:tcPr>
          <w:p w14:paraId="595D401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10" w:type="dxa"/>
            <w:noWrap/>
            <w:vAlign w:val="bottom"/>
            <w:hideMark/>
          </w:tcPr>
          <w:p w14:paraId="696F917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5.5%</w:t>
            </w:r>
          </w:p>
        </w:tc>
        <w:tc>
          <w:tcPr>
            <w:tcW w:w="990" w:type="dxa"/>
            <w:noWrap/>
            <w:vAlign w:val="bottom"/>
            <w:hideMark/>
          </w:tcPr>
          <w:p w14:paraId="782D1C8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1080" w:type="dxa"/>
            <w:noWrap/>
            <w:vAlign w:val="bottom"/>
            <w:hideMark/>
          </w:tcPr>
          <w:p w14:paraId="75AD83F8"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6.8%</w:t>
            </w:r>
          </w:p>
        </w:tc>
        <w:tc>
          <w:tcPr>
            <w:tcW w:w="1087" w:type="dxa"/>
            <w:noWrap/>
            <w:vAlign w:val="bottom"/>
            <w:hideMark/>
          </w:tcPr>
          <w:p w14:paraId="1CACC233"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20.9%</w:t>
            </w:r>
          </w:p>
        </w:tc>
        <w:tc>
          <w:tcPr>
            <w:tcW w:w="992" w:type="dxa"/>
            <w:noWrap/>
            <w:vAlign w:val="bottom"/>
            <w:hideMark/>
          </w:tcPr>
          <w:p w14:paraId="2AA2D0CE"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7.9%</w:t>
            </w:r>
          </w:p>
        </w:tc>
        <w:tc>
          <w:tcPr>
            <w:tcW w:w="993" w:type="dxa"/>
            <w:noWrap/>
            <w:vAlign w:val="bottom"/>
            <w:hideMark/>
          </w:tcPr>
          <w:p w14:paraId="4331441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15.6%</w:t>
            </w:r>
          </w:p>
        </w:tc>
        <w:tc>
          <w:tcPr>
            <w:tcW w:w="850" w:type="dxa"/>
            <w:noWrap/>
            <w:vAlign w:val="bottom"/>
            <w:hideMark/>
          </w:tcPr>
          <w:p w14:paraId="540E8E68"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7.5%</w:t>
            </w:r>
          </w:p>
        </w:tc>
      </w:tr>
      <w:tr w:rsidR="003A1DC2" w:rsidRPr="00116D0B" w14:paraId="5E7ABD37" w14:textId="77777777" w:rsidTr="003A1DC2">
        <w:trPr>
          <w:trHeight w:val="600"/>
        </w:trPr>
        <w:tc>
          <w:tcPr>
            <w:tcW w:w="1890" w:type="dxa"/>
            <w:vAlign w:val="bottom"/>
            <w:hideMark/>
          </w:tcPr>
          <w:p w14:paraId="6052B29C"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Did not go to school but can read and write</w:t>
            </w:r>
          </w:p>
        </w:tc>
        <w:tc>
          <w:tcPr>
            <w:tcW w:w="900" w:type="dxa"/>
            <w:noWrap/>
            <w:vAlign w:val="bottom"/>
            <w:hideMark/>
          </w:tcPr>
          <w:p w14:paraId="5F9AED6D"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10" w:type="dxa"/>
            <w:noWrap/>
            <w:vAlign w:val="bottom"/>
            <w:hideMark/>
          </w:tcPr>
          <w:p w14:paraId="559357D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10" w:type="dxa"/>
            <w:noWrap/>
            <w:vAlign w:val="bottom"/>
            <w:hideMark/>
          </w:tcPr>
          <w:p w14:paraId="109EE7B9"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w:t>
            </w:r>
          </w:p>
        </w:tc>
        <w:tc>
          <w:tcPr>
            <w:tcW w:w="990" w:type="dxa"/>
            <w:noWrap/>
            <w:vAlign w:val="bottom"/>
            <w:hideMark/>
          </w:tcPr>
          <w:p w14:paraId="3B2C524A"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1080" w:type="dxa"/>
            <w:noWrap/>
            <w:vAlign w:val="bottom"/>
            <w:hideMark/>
          </w:tcPr>
          <w:p w14:paraId="2E5DAF8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1087" w:type="dxa"/>
            <w:noWrap/>
            <w:vAlign w:val="bottom"/>
            <w:hideMark/>
          </w:tcPr>
          <w:p w14:paraId="5B24D02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992" w:type="dxa"/>
            <w:noWrap/>
            <w:vAlign w:val="bottom"/>
            <w:hideMark/>
          </w:tcPr>
          <w:p w14:paraId="2E521B6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993" w:type="dxa"/>
            <w:noWrap/>
            <w:vAlign w:val="bottom"/>
            <w:hideMark/>
          </w:tcPr>
          <w:p w14:paraId="1EF2BB01"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50" w:type="dxa"/>
            <w:noWrap/>
            <w:vAlign w:val="bottom"/>
            <w:hideMark/>
          </w:tcPr>
          <w:p w14:paraId="60FCD4C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0.2%</w:t>
            </w:r>
          </w:p>
        </w:tc>
      </w:tr>
      <w:tr w:rsidR="003A1DC2" w:rsidRPr="00116D0B" w14:paraId="101D5FAF" w14:textId="77777777" w:rsidTr="003A1DC2">
        <w:trPr>
          <w:trHeight w:val="300"/>
        </w:trPr>
        <w:tc>
          <w:tcPr>
            <w:tcW w:w="1890" w:type="dxa"/>
            <w:noWrap/>
            <w:vAlign w:val="bottom"/>
            <w:hideMark/>
          </w:tcPr>
          <w:p w14:paraId="25B9BD4D"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Primary</w:t>
            </w:r>
          </w:p>
        </w:tc>
        <w:tc>
          <w:tcPr>
            <w:tcW w:w="900" w:type="dxa"/>
            <w:noWrap/>
            <w:vAlign w:val="bottom"/>
            <w:hideMark/>
          </w:tcPr>
          <w:p w14:paraId="619FF00A"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18.6%</w:t>
            </w:r>
          </w:p>
        </w:tc>
        <w:tc>
          <w:tcPr>
            <w:tcW w:w="810" w:type="dxa"/>
            <w:noWrap/>
            <w:vAlign w:val="bottom"/>
            <w:hideMark/>
          </w:tcPr>
          <w:p w14:paraId="4FC88AE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14.6%</w:t>
            </w:r>
          </w:p>
        </w:tc>
        <w:tc>
          <w:tcPr>
            <w:tcW w:w="810" w:type="dxa"/>
            <w:noWrap/>
            <w:vAlign w:val="bottom"/>
            <w:hideMark/>
          </w:tcPr>
          <w:p w14:paraId="5B85562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9.1%</w:t>
            </w:r>
          </w:p>
        </w:tc>
        <w:tc>
          <w:tcPr>
            <w:tcW w:w="990" w:type="dxa"/>
            <w:noWrap/>
            <w:vAlign w:val="bottom"/>
            <w:hideMark/>
          </w:tcPr>
          <w:p w14:paraId="2547ADCD"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25.6%</w:t>
            </w:r>
          </w:p>
        </w:tc>
        <w:tc>
          <w:tcPr>
            <w:tcW w:w="1080" w:type="dxa"/>
            <w:noWrap/>
            <w:vAlign w:val="bottom"/>
            <w:hideMark/>
          </w:tcPr>
          <w:p w14:paraId="49E366D1"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27.3%</w:t>
            </w:r>
          </w:p>
        </w:tc>
        <w:tc>
          <w:tcPr>
            <w:tcW w:w="1087" w:type="dxa"/>
            <w:noWrap/>
            <w:vAlign w:val="bottom"/>
            <w:hideMark/>
          </w:tcPr>
          <w:p w14:paraId="33EC357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14.0%</w:t>
            </w:r>
          </w:p>
        </w:tc>
        <w:tc>
          <w:tcPr>
            <w:tcW w:w="992" w:type="dxa"/>
            <w:noWrap/>
            <w:vAlign w:val="bottom"/>
            <w:hideMark/>
          </w:tcPr>
          <w:p w14:paraId="07CD0D4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22.8%</w:t>
            </w:r>
          </w:p>
        </w:tc>
        <w:tc>
          <w:tcPr>
            <w:tcW w:w="993" w:type="dxa"/>
            <w:noWrap/>
            <w:vAlign w:val="bottom"/>
            <w:hideMark/>
          </w:tcPr>
          <w:p w14:paraId="608207F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22.2%</w:t>
            </w:r>
          </w:p>
        </w:tc>
        <w:tc>
          <w:tcPr>
            <w:tcW w:w="850" w:type="dxa"/>
            <w:noWrap/>
            <w:vAlign w:val="bottom"/>
            <w:hideMark/>
          </w:tcPr>
          <w:p w14:paraId="7779A0DE"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19.5%</w:t>
            </w:r>
          </w:p>
        </w:tc>
      </w:tr>
      <w:tr w:rsidR="003A1DC2" w:rsidRPr="00116D0B" w14:paraId="344FE90F" w14:textId="77777777" w:rsidTr="003A1DC2">
        <w:trPr>
          <w:trHeight w:val="300"/>
        </w:trPr>
        <w:tc>
          <w:tcPr>
            <w:tcW w:w="1890" w:type="dxa"/>
            <w:noWrap/>
            <w:vAlign w:val="bottom"/>
            <w:hideMark/>
          </w:tcPr>
          <w:p w14:paraId="51EC79F1"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Secondary</w:t>
            </w:r>
          </w:p>
        </w:tc>
        <w:tc>
          <w:tcPr>
            <w:tcW w:w="900" w:type="dxa"/>
            <w:noWrap/>
            <w:vAlign w:val="bottom"/>
            <w:hideMark/>
          </w:tcPr>
          <w:p w14:paraId="780EE352"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32.6%</w:t>
            </w:r>
          </w:p>
        </w:tc>
        <w:tc>
          <w:tcPr>
            <w:tcW w:w="810" w:type="dxa"/>
            <w:noWrap/>
            <w:vAlign w:val="bottom"/>
            <w:hideMark/>
          </w:tcPr>
          <w:p w14:paraId="6E33B9A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41.5%</w:t>
            </w:r>
          </w:p>
        </w:tc>
        <w:tc>
          <w:tcPr>
            <w:tcW w:w="810" w:type="dxa"/>
            <w:noWrap/>
            <w:vAlign w:val="bottom"/>
            <w:hideMark/>
          </w:tcPr>
          <w:p w14:paraId="5165EEB2"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43.6%</w:t>
            </w:r>
          </w:p>
        </w:tc>
        <w:tc>
          <w:tcPr>
            <w:tcW w:w="990" w:type="dxa"/>
            <w:noWrap/>
            <w:vAlign w:val="bottom"/>
            <w:hideMark/>
          </w:tcPr>
          <w:p w14:paraId="4E82F0F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51.2%</w:t>
            </w:r>
          </w:p>
        </w:tc>
        <w:tc>
          <w:tcPr>
            <w:tcW w:w="1080" w:type="dxa"/>
            <w:noWrap/>
            <w:vAlign w:val="bottom"/>
            <w:hideMark/>
          </w:tcPr>
          <w:p w14:paraId="10630674"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45.5%</w:t>
            </w:r>
          </w:p>
        </w:tc>
        <w:tc>
          <w:tcPr>
            <w:tcW w:w="1087" w:type="dxa"/>
            <w:noWrap/>
            <w:vAlign w:val="bottom"/>
            <w:hideMark/>
          </w:tcPr>
          <w:p w14:paraId="41FB57FF"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39.5%</w:t>
            </w:r>
          </w:p>
        </w:tc>
        <w:tc>
          <w:tcPr>
            <w:tcW w:w="992" w:type="dxa"/>
            <w:noWrap/>
            <w:vAlign w:val="bottom"/>
            <w:hideMark/>
          </w:tcPr>
          <w:p w14:paraId="626BB2E4"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49.5%</w:t>
            </w:r>
          </w:p>
        </w:tc>
        <w:tc>
          <w:tcPr>
            <w:tcW w:w="993" w:type="dxa"/>
            <w:noWrap/>
            <w:vAlign w:val="bottom"/>
            <w:hideMark/>
          </w:tcPr>
          <w:p w14:paraId="58BACC3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28.9%</w:t>
            </w:r>
          </w:p>
        </w:tc>
        <w:tc>
          <w:tcPr>
            <w:tcW w:w="850" w:type="dxa"/>
            <w:noWrap/>
            <w:vAlign w:val="bottom"/>
            <w:hideMark/>
          </w:tcPr>
          <w:p w14:paraId="113834D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42.7%</w:t>
            </w:r>
          </w:p>
        </w:tc>
      </w:tr>
      <w:tr w:rsidR="003A1DC2" w:rsidRPr="00116D0B" w14:paraId="6914BB76" w14:textId="77777777" w:rsidTr="003A1DC2">
        <w:trPr>
          <w:trHeight w:val="300"/>
        </w:trPr>
        <w:tc>
          <w:tcPr>
            <w:tcW w:w="1890" w:type="dxa"/>
            <w:noWrap/>
            <w:vAlign w:val="bottom"/>
            <w:hideMark/>
          </w:tcPr>
          <w:p w14:paraId="78ACACD4"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Vocational school/training</w:t>
            </w:r>
          </w:p>
        </w:tc>
        <w:tc>
          <w:tcPr>
            <w:tcW w:w="900" w:type="dxa"/>
            <w:noWrap/>
            <w:vAlign w:val="bottom"/>
            <w:hideMark/>
          </w:tcPr>
          <w:p w14:paraId="136F2CB1"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10" w:type="dxa"/>
            <w:noWrap/>
            <w:vAlign w:val="bottom"/>
            <w:hideMark/>
          </w:tcPr>
          <w:p w14:paraId="2B12368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810" w:type="dxa"/>
            <w:noWrap/>
            <w:vAlign w:val="bottom"/>
            <w:hideMark/>
          </w:tcPr>
          <w:p w14:paraId="74C2A3A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990" w:type="dxa"/>
            <w:noWrap/>
            <w:vAlign w:val="bottom"/>
            <w:hideMark/>
          </w:tcPr>
          <w:p w14:paraId="6A0DD40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1080" w:type="dxa"/>
            <w:noWrap/>
            <w:vAlign w:val="bottom"/>
            <w:hideMark/>
          </w:tcPr>
          <w:p w14:paraId="2F8BE297"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4.5%</w:t>
            </w:r>
          </w:p>
        </w:tc>
        <w:tc>
          <w:tcPr>
            <w:tcW w:w="1087" w:type="dxa"/>
            <w:noWrap/>
            <w:vAlign w:val="bottom"/>
            <w:hideMark/>
          </w:tcPr>
          <w:p w14:paraId="248090BA"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2.3%</w:t>
            </w:r>
          </w:p>
        </w:tc>
        <w:tc>
          <w:tcPr>
            <w:tcW w:w="992" w:type="dxa"/>
            <w:noWrap/>
            <w:vAlign w:val="bottom"/>
            <w:hideMark/>
          </w:tcPr>
          <w:p w14:paraId="733CE930"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1.0%</w:t>
            </w:r>
          </w:p>
        </w:tc>
        <w:tc>
          <w:tcPr>
            <w:tcW w:w="993" w:type="dxa"/>
            <w:noWrap/>
            <w:vAlign w:val="bottom"/>
            <w:hideMark/>
          </w:tcPr>
          <w:p w14:paraId="02CACA6E"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8.9%</w:t>
            </w:r>
          </w:p>
        </w:tc>
        <w:tc>
          <w:tcPr>
            <w:tcW w:w="850" w:type="dxa"/>
            <w:noWrap/>
            <w:vAlign w:val="bottom"/>
            <w:hideMark/>
          </w:tcPr>
          <w:p w14:paraId="38C4985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1.9%</w:t>
            </w:r>
          </w:p>
        </w:tc>
      </w:tr>
      <w:tr w:rsidR="003A1DC2" w:rsidRPr="00116D0B" w14:paraId="3044202F" w14:textId="77777777" w:rsidTr="003A1DC2">
        <w:trPr>
          <w:trHeight w:val="300"/>
        </w:trPr>
        <w:tc>
          <w:tcPr>
            <w:tcW w:w="1890" w:type="dxa"/>
            <w:noWrap/>
            <w:vAlign w:val="bottom"/>
            <w:hideMark/>
          </w:tcPr>
          <w:p w14:paraId="5B6892C1"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University /College</w:t>
            </w:r>
          </w:p>
        </w:tc>
        <w:tc>
          <w:tcPr>
            <w:tcW w:w="900" w:type="dxa"/>
            <w:noWrap/>
            <w:vAlign w:val="bottom"/>
            <w:hideMark/>
          </w:tcPr>
          <w:p w14:paraId="55D2DDBD"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32.6%</w:t>
            </w:r>
          </w:p>
        </w:tc>
        <w:tc>
          <w:tcPr>
            <w:tcW w:w="810" w:type="dxa"/>
            <w:noWrap/>
            <w:vAlign w:val="bottom"/>
            <w:hideMark/>
          </w:tcPr>
          <w:p w14:paraId="15917D8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41.5%</w:t>
            </w:r>
          </w:p>
        </w:tc>
        <w:tc>
          <w:tcPr>
            <w:tcW w:w="810" w:type="dxa"/>
            <w:noWrap/>
            <w:vAlign w:val="bottom"/>
            <w:hideMark/>
          </w:tcPr>
          <w:p w14:paraId="09891356"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27.3%</w:t>
            </w:r>
          </w:p>
        </w:tc>
        <w:tc>
          <w:tcPr>
            <w:tcW w:w="990" w:type="dxa"/>
            <w:noWrap/>
            <w:vAlign w:val="bottom"/>
            <w:hideMark/>
          </w:tcPr>
          <w:p w14:paraId="6AB790A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23.3%</w:t>
            </w:r>
          </w:p>
        </w:tc>
        <w:tc>
          <w:tcPr>
            <w:tcW w:w="1080" w:type="dxa"/>
            <w:noWrap/>
            <w:vAlign w:val="bottom"/>
            <w:hideMark/>
          </w:tcPr>
          <w:p w14:paraId="1F360CC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6.8%</w:t>
            </w:r>
          </w:p>
        </w:tc>
        <w:tc>
          <w:tcPr>
            <w:tcW w:w="1087" w:type="dxa"/>
            <w:noWrap/>
            <w:vAlign w:val="bottom"/>
            <w:hideMark/>
          </w:tcPr>
          <w:p w14:paraId="7795C0AD"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9.3%</w:t>
            </w:r>
          </w:p>
        </w:tc>
        <w:tc>
          <w:tcPr>
            <w:tcW w:w="992" w:type="dxa"/>
            <w:noWrap/>
            <w:vAlign w:val="bottom"/>
            <w:hideMark/>
          </w:tcPr>
          <w:p w14:paraId="470DB37E"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10.9%</w:t>
            </w:r>
          </w:p>
        </w:tc>
        <w:tc>
          <w:tcPr>
            <w:tcW w:w="993" w:type="dxa"/>
            <w:noWrap/>
            <w:vAlign w:val="bottom"/>
            <w:hideMark/>
          </w:tcPr>
          <w:p w14:paraId="73ABD258"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15.6%</w:t>
            </w:r>
          </w:p>
        </w:tc>
        <w:tc>
          <w:tcPr>
            <w:tcW w:w="850" w:type="dxa"/>
            <w:noWrap/>
            <w:vAlign w:val="bottom"/>
            <w:hideMark/>
          </w:tcPr>
          <w:p w14:paraId="21B1778D"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19.5%</w:t>
            </w:r>
          </w:p>
        </w:tc>
      </w:tr>
      <w:tr w:rsidR="003A1DC2" w:rsidRPr="00116D0B" w14:paraId="505F1305" w14:textId="77777777" w:rsidTr="003A1DC2">
        <w:trPr>
          <w:trHeight w:val="315"/>
        </w:trPr>
        <w:tc>
          <w:tcPr>
            <w:tcW w:w="1890" w:type="dxa"/>
            <w:noWrap/>
            <w:vAlign w:val="bottom"/>
            <w:hideMark/>
          </w:tcPr>
          <w:p w14:paraId="40937B3F" w14:textId="77777777" w:rsidR="003A1DC2" w:rsidRPr="00116D0B" w:rsidRDefault="003A1DC2" w:rsidP="003A1DC2">
            <w:pPr>
              <w:widowControl/>
              <w:autoSpaceDE/>
              <w:autoSpaceDN/>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Tertiary school</w:t>
            </w:r>
          </w:p>
        </w:tc>
        <w:tc>
          <w:tcPr>
            <w:tcW w:w="900" w:type="dxa"/>
            <w:noWrap/>
            <w:vAlign w:val="bottom"/>
            <w:hideMark/>
          </w:tcPr>
          <w:p w14:paraId="74EC075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14.0%</w:t>
            </w:r>
          </w:p>
        </w:tc>
        <w:tc>
          <w:tcPr>
            <w:tcW w:w="810" w:type="dxa"/>
            <w:noWrap/>
            <w:vAlign w:val="bottom"/>
            <w:hideMark/>
          </w:tcPr>
          <w:p w14:paraId="1DE34EB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2.4%</w:t>
            </w:r>
          </w:p>
        </w:tc>
        <w:tc>
          <w:tcPr>
            <w:tcW w:w="810" w:type="dxa"/>
            <w:noWrap/>
            <w:vAlign w:val="bottom"/>
            <w:hideMark/>
          </w:tcPr>
          <w:p w14:paraId="344F3A04"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12.7%</w:t>
            </w:r>
          </w:p>
        </w:tc>
        <w:tc>
          <w:tcPr>
            <w:tcW w:w="990" w:type="dxa"/>
            <w:noWrap/>
            <w:vAlign w:val="bottom"/>
            <w:hideMark/>
          </w:tcPr>
          <w:p w14:paraId="5E717123"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0.0%</w:t>
            </w:r>
          </w:p>
        </w:tc>
        <w:tc>
          <w:tcPr>
            <w:tcW w:w="1080" w:type="dxa"/>
            <w:noWrap/>
            <w:vAlign w:val="bottom"/>
            <w:hideMark/>
          </w:tcPr>
          <w:p w14:paraId="410E22B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9.1%</w:t>
            </w:r>
          </w:p>
        </w:tc>
        <w:tc>
          <w:tcPr>
            <w:tcW w:w="1087" w:type="dxa"/>
            <w:noWrap/>
            <w:vAlign w:val="bottom"/>
            <w:hideMark/>
          </w:tcPr>
          <w:p w14:paraId="56564F2C"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14.0%</w:t>
            </w:r>
          </w:p>
        </w:tc>
        <w:tc>
          <w:tcPr>
            <w:tcW w:w="992" w:type="dxa"/>
            <w:noWrap/>
            <w:vAlign w:val="bottom"/>
            <w:hideMark/>
          </w:tcPr>
          <w:p w14:paraId="48282785"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7.9%</w:t>
            </w:r>
          </w:p>
        </w:tc>
        <w:tc>
          <w:tcPr>
            <w:tcW w:w="993" w:type="dxa"/>
            <w:noWrap/>
            <w:vAlign w:val="bottom"/>
            <w:hideMark/>
          </w:tcPr>
          <w:p w14:paraId="4780FFA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8.9%</w:t>
            </w:r>
          </w:p>
        </w:tc>
        <w:tc>
          <w:tcPr>
            <w:tcW w:w="850" w:type="dxa"/>
            <w:noWrap/>
            <w:vAlign w:val="bottom"/>
            <w:hideMark/>
          </w:tcPr>
          <w:p w14:paraId="3ADD219B" w14:textId="77777777" w:rsidR="003A1DC2" w:rsidRPr="00116D0B" w:rsidRDefault="003A1DC2" w:rsidP="003A1DC2">
            <w:pPr>
              <w:widowControl/>
              <w:autoSpaceDE/>
              <w:autoSpaceDN/>
              <w:jc w:val="center"/>
              <w:rPr>
                <w:rFonts w:ascii="Garamond" w:eastAsia="Times New Roman" w:hAnsi="Garamond" w:cs="Calibri"/>
                <w:color w:val="000000"/>
                <w:sz w:val="24"/>
                <w:szCs w:val="24"/>
                <w:lang w:val="en-GB" w:eastAsia="en-GB"/>
              </w:rPr>
            </w:pPr>
            <w:r w:rsidRPr="00116D0B">
              <w:rPr>
                <w:rFonts w:ascii="Garamond" w:eastAsia="Times New Roman" w:hAnsi="Garamond" w:cs="Calibri"/>
                <w:color w:val="000000"/>
                <w:sz w:val="24"/>
                <w:szCs w:val="24"/>
                <w:lang w:val="en-GB" w:eastAsia="en-GB"/>
              </w:rPr>
              <w:t>8.7%</w:t>
            </w:r>
          </w:p>
        </w:tc>
      </w:tr>
    </w:tbl>
    <w:p w14:paraId="466C8FC4" w14:textId="6C49DCBE" w:rsidR="003A1DC2" w:rsidRPr="00116D0B" w:rsidRDefault="003A1DC2" w:rsidP="003A1DC2">
      <w:pPr>
        <w:widowControl/>
        <w:autoSpaceDE/>
        <w:autoSpaceDN/>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Regarding the ethnic composition of the respondents, the Higgi ethnic group constituted the majority (95.9%) across all the wards visited. Hausa, Margi, and Fulani collectively accounted for an average of 1.2% across all wards. See table</w:t>
      </w:r>
      <w:r w:rsidR="000F2DFD">
        <w:rPr>
          <w:rFonts w:ascii="Garamond" w:eastAsia="Calibri" w:hAnsi="Garamond" w:cs="Calibri"/>
          <w:sz w:val="24"/>
          <w:szCs w:val="24"/>
        </w:rPr>
        <w:t xml:space="preserve"> </w:t>
      </w:r>
      <w:r w:rsidRPr="00116D0B">
        <w:rPr>
          <w:rFonts w:ascii="Garamond" w:eastAsia="Calibri" w:hAnsi="Garamond" w:cs="Calibri"/>
          <w:sz w:val="24"/>
          <w:szCs w:val="24"/>
        </w:rPr>
        <w:t>9</w:t>
      </w:r>
      <w:r w:rsidR="000F2DFD">
        <w:rPr>
          <w:rFonts w:ascii="Garamond" w:eastAsia="Calibri" w:hAnsi="Garamond" w:cs="Calibri"/>
          <w:sz w:val="24"/>
          <w:szCs w:val="24"/>
        </w:rPr>
        <w:t xml:space="preserve"> </w:t>
      </w:r>
      <w:r w:rsidRPr="00116D0B">
        <w:rPr>
          <w:rFonts w:ascii="Garamond" w:eastAsia="Calibri" w:hAnsi="Garamond" w:cs="Calibri"/>
          <w:sz w:val="24"/>
          <w:szCs w:val="24"/>
        </w:rPr>
        <w:t>for more details</w:t>
      </w:r>
      <w:r w:rsidR="000F2DFD">
        <w:rPr>
          <w:rFonts w:ascii="Garamond" w:eastAsia="Calibri" w:hAnsi="Garamond" w:cs="Calibri"/>
          <w:sz w:val="24"/>
          <w:szCs w:val="24"/>
        </w:rPr>
        <w:t>.</w:t>
      </w:r>
    </w:p>
    <w:tbl>
      <w:tblPr>
        <w:tblStyle w:val="TableGrid"/>
        <w:tblpPr w:leftFromText="180" w:rightFromText="180" w:vertAnchor="text" w:horzAnchor="margin" w:tblpY="483"/>
        <w:tblW w:w="9478" w:type="dxa"/>
        <w:tblLook w:val="04A0" w:firstRow="1" w:lastRow="0" w:firstColumn="1" w:lastColumn="0" w:noHBand="0" w:noVBand="1"/>
      </w:tblPr>
      <w:tblGrid>
        <w:gridCol w:w="2972"/>
        <w:gridCol w:w="1806"/>
        <w:gridCol w:w="1225"/>
        <w:gridCol w:w="1149"/>
        <w:gridCol w:w="1208"/>
        <w:gridCol w:w="1118"/>
      </w:tblGrid>
      <w:tr w:rsidR="003A1DC2" w:rsidRPr="00116D0B" w14:paraId="363149FF" w14:textId="77777777" w:rsidTr="003A1DC2">
        <w:trPr>
          <w:trHeight w:val="256"/>
        </w:trPr>
        <w:tc>
          <w:tcPr>
            <w:tcW w:w="2972" w:type="dxa"/>
            <w:shd w:val="clear" w:color="auto" w:fill="449E46"/>
            <w:hideMark/>
          </w:tcPr>
          <w:p w14:paraId="1F299C90"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Wards  /  Ethnic groups</w:t>
            </w:r>
          </w:p>
        </w:tc>
        <w:tc>
          <w:tcPr>
            <w:tcW w:w="1806" w:type="dxa"/>
            <w:shd w:val="clear" w:color="auto" w:fill="449E46"/>
            <w:hideMark/>
          </w:tcPr>
          <w:p w14:paraId="1A680639"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Higgi</w:t>
            </w:r>
          </w:p>
        </w:tc>
        <w:tc>
          <w:tcPr>
            <w:tcW w:w="0" w:type="auto"/>
            <w:shd w:val="clear" w:color="auto" w:fill="449E46"/>
            <w:hideMark/>
          </w:tcPr>
          <w:p w14:paraId="23C37E3E"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Hausa</w:t>
            </w:r>
          </w:p>
        </w:tc>
        <w:tc>
          <w:tcPr>
            <w:tcW w:w="0" w:type="auto"/>
            <w:shd w:val="clear" w:color="auto" w:fill="449E46"/>
            <w:hideMark/>
          </w:tcPr>
          <w:p w14:paraId="1DCED995"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Margi</w:t>
            </w:r>
          </w:p>
        </w:tc>
        <w:tc>
          <w:tcPr>
            <w:tcW w:w="0" w:type="auto"/>
            <w:shd w:val="clear" w:color="auto" w:fill="449E46"/>
            <w:hideMark/>
          </w:tcPr>
          <w:p w14:paraId="237DE06E"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Fulani</w:t>
            </w:r>
          </w:p>
        </w:tc>
        <w:tc>
          <w:tcPr>
            <w:tcW w:w="0" w:type="auto"/>
            <w:shd w:val="clear" w:color="auto" w:fill="449E46"/>
            <w:hideMark/>
          </w:tcPr>
          <w:p w14:paraId="2F179163" w14:textId="77777777" w:rsidR="003A1DC2" w:rsidRPr="00116D0B" w:rsidRDefault="003A1DC2" w:rsidP="003A1DC2">
            <w:pPr>
              <w:jc w:val="both"/>
              <w:rPr>
                <w:rFonts w:ascii="Garamond" w:eastAsia="Times New Roman" w:hAnsi="Garamond" w:cs="Calibri"/>
                <w:b/>
                <w:bCs/>
                <w:color w:val="FFFFFF"/>
                <w:sz w:val="24"/>
                <w:szCs w:val="24"/>
                <w:lang w:eastAsia="en-GB"/>
              </w:rPr>
            </w:pPr>
            <w:r w:rsidRPr="00116D0B">
              <w:rPr>
                <w:rFonts w:ascii="Garamond" w:eastAsia="Times New Roman" w:hAnsi="Garamond" w:cs="Calibri"/>
                <w:b/>
                <w:bCs/>
                <w:color w:val="FFFFFF"/>
                <w:sz w:val="24"/>
                <w:szCs w:val="24"/>
                <w:lang w:eastAsia="en-GB"/>
              </w:rPr>
              <w:t>Other</w:t>
            </w:r>
          </w:p>
        </w:tc>
      </w:tr>
      <w:tr w:rsidR="003A1DC2" w:rsidRPr="00116D0B" w14:paraId="578E20CF" w14:textId="77777777" w:rsidTr="003A1DC2">
        <w:trPr>
          <w:trHeight w:val="265"/>
        </w:trPr>
        <w:tc>
          <w:tcPr>
            <w:tcW w:w="2972" w:type="dxa"/>
            <w:hideMark/>
          </w:tcPr>
          <w:p w14:paraId="1BF09CF9" w14:textId="77777777" w:rsidR="003A1DC2" w:rsidRPr="00116D0B" w:rsidRDefault="003A1DC2" w:rsidP="003A1DC2">
            <w:pPr>
              <w:jc w:val="both"/>
              <w:rPr>
                <w:rFonts w:ascii="Garamond" w:eastAsia="Times New Roman" w:hAnsi="Garamond" w:cs="Calibri"/>
                <w:color w:val="0D0D0D"/>
                <w:sz w:val="24"/>
                <w:szCs w:val="24"/>
                <w:lang w:eastAsia="en-GB"/>
              </w:rPr>
            </w:pPr>
            <w:proofErr w:type="spellStart"/>
            <w:r w:rsidRPr="00116D0B">
              <w:rPr>
                <w:rFonts w:ascii="Garamond" w:eastAsia="Times New Roman" w:hAnsi="Garamond" w:cs="Calibri"/>
                <w:color w:val="0D0D0D"/>
                <w:sz w:val="24"/>
                <w:szCs w:val="24"/>
                <w:lang w:eastAsia="en-GB"/>
              </w:rPr>
              <w:t>Garta</w:t>
            </w:r>
            <w:proofErr w:type="spellEnd"/>
            <w:r w:rsidRPr="00116D0B">
              <w:rPr>
                <w:rFonts w:ascii="Garamond" w:eastAsia="Times New Roman" w:hAnsi="Garamond" w:cs="Calibri"/>
                <w:color w:val="0D0D0D"/>
                <w:sz w:val="24"/>
                <w:szCs w:val="24"/>
                <w:lang w:eastAsia="en-GB"/>
              </w:rPr>
              <w:t>/</w:t>
            </w:r>
            <w:proofErr w:type="spellStart"/>
            <w:r w:rsidRPr="00116D0B">
              <w:rPr>
                <w:rFonts w:ascii="Garamond" w:eastAsia="Times New Roman" w:hAnsi="Garamond" w:cs="Calibri"/>
                <w:color w:val="0D0D0D"/>
                <w:sz w:val="24"/>
                <w:szCs w:val="24"/>
                <w:lang w:eastAsia="en-GB"/>
              </w:rPr>
              <w:t>Ghunchi</w:t>
            </w:r>
            <w:proofErr w:type="spellEnd"/>
          </w:p>
        </w:tc>
        <w:tc>
          <w:tcPr>
            <w:tcW w:w="1806" w:type="dxa"/>
            <w:hideMark/>
          </w:tcPr>
          <w:p w14:paraId="78C2AE0E"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95.3%</w:t>
            </w:r>
          </w:p>
        </w:tc>
        <w:tc>
          <w:tcPr>
            <w:tcW w:w="0" w:type="auto"/>
            <w:hideMark/>
          </w:tcPr>
          <w:p w14:paraId="5F9C58BA"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0C04CB57"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4.7%</w:t>
            </w:r>
          </w:p>
        </w:tc>
        <w:tc>
          <w:tcPr>
            <w:tcW w:w="0" w:type="auto"/>
            <w:hideMark/>
          </w:tcPr>
          <w:p w14:paraId="2EF96E12"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32007B7C"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1A75428C" w14:textId="77777777" w:rsidTr="003A1DC2">
        <w:trPr>
          <w:trHeight w:val="46"/>
        </w:trPr>
        <w:tc>
          <w:tcPr>
            <w:tcW w:w="2972" w:type="dxa"/>
            <w:hideMark/>
          </w:tcPr>
          <w:p w14:paraId="028D7A19"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Madzi</w:t>
            </w:r>
          </w:p>
        </w:tc>
        <w:tc>
          <w:tcPr>
            <w:tcW w:w="1806" w:type="dxa"/>
            <w:hideMark/>
          </w:tcPr>
          <w:p w14:paraId="0891BCD8"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97.6%</w:t>
            </w:r>
          </w:p>
        </w:tc>
        <w:tc>
          <w:tcPr>
            <w:tcW w:w="0" w:type="auto"/>
            <w:hideMark/>
          </w:tcPr>
          <w:p w14:paraId="5A0660F1"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2.4%</w:t>
            </w:r>
          </w:p>
        </w:tc>
        <w:tc>
          <w:tcPr>
            <w:tcW w:w="0" w:type="auto"/>
            <w:hideMark/>
          </w:tcPr>
          <w:p w14:paraId="41C1F068"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4830A1CB"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0CBBC4B0"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332AAAE2" w14:textId="77777777" w:rsidTr="003A1DC2">
        <w:trPr>
          <w:trHeight w:val="46"/>
        </w:trPr>
        <w:tc>
          <w:tcPr>
            <w:tcW w:w="2972" w:type="dxa"/>
            <w:hideMark/>
          </w:tcPr>
          <w:p w14:paraId="1F86A797"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Michika II</w:t>
            </w:r>
          </w:p>
        </w:tc>
        <w:tc>
          <w:tcPr>
            <w:tcW w:w="1806" w:type="dxa"/>
            <w:hideMark/>
          </w:tcPr>
          <w:p w14:paraId="0BD7FE36"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94.5%</w:t>
            </w:r>
          </w:p>
        </w:tc>
        <w:tc>
          <w:tcPr>
            <w:tcW w:w="0" w:type="auto"/>
            <w:hideMark/>
          </w:tcPr>
          <w:p w14:paraId="7840137D"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1.8%</w:t>
            </w:r>
          </w:p>
        </w:tc>
        <w:tc>
          <w:tcPr>
            <w:tcW w:w="0" w:type="auto"/>
            <w:hideMark/>
          </w:tcPr>
          <w:p w14:paraId="4D389340"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0E75ED5F"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3.6%</w:t>
            </w:r>
          </w:p>
        </w:tc>
        <w:tc>
          <w:tcPr>
            <w:tcW w:w="0" w:type="auto"/>
            <w:hideMark/>
          </w:tcPr>
          <w:p w14:paraId="5D20174C"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770A56EB" w14:textId="77777777" w:rsidTr="003A1DC2">
        <w:trPr>
          <w:trHeight w:val="46"/>
        </w:trPr>
        <w:tc>
          <w:tcPr>
            <w:tcW w:w="2972" w:type="dxa"/>
            <w:hideMark/>
          </w:tcPr>
          <w:p w14:paraId="06EA65A4" w14:textId="77777777" w:rsidR="003A1DC2" w:rsidRPr="00116D0B" w:rsidRDefault="003A1DC2" w:rsidP="003A1DC2">
            <w:pPr>
              <w:jc w:val="both"/>
              <w:rPr>
                <w:rFonts w:ascii="Garamond" w:eastAsia="Times New Roman" w:hAnsi="Garamond" w:cs="Calibri"/>
                <w:color w:val="0D0D0D"/>
                <w:sz w:val="24"/>
                <w:szCs w:val="24"/>
                <w:lang w:eastAsia="en-GB"/>
              </w:rPr>
            </w:pPr>
            <w:proofErr w:type="spellStart"/>
            <w:r w:rsidRPr="00116D0B">
              <w:rPr>
                <w:rFonts w:ascii="Garamond" w:eastAsia="Times New Roman" w:hAnsi="Garamond" w:cs="Calibri"/>
                <w:color w:val="0D0D0D"/>
                <w:sz w:val="24"/>
                <w:szCs w:val="24"/>
                <w:lang w:eastAsia="en-GB"/>
              </w:rPr>
              <w:t>Minkisi</w:t>
            </w:r>
            <w:proofErr w:type="spellEnd"/>
            <w:r w:rsidRPr="00116D0B">
              <w:rPr>
                <w:rFonts w:ascii="Garamond" w:eastAsia="Times New Roman" w:hAnsi="Garamond" w:cs="Calibri"/>
                <w:color w:val="0D0D0D"/>
                <w:sz w:val="24"/>
                <w:szCs w:val="24"/>
                <w:lang w:eastAsia="en-GB"/>
              </w:rPr>
              <w:t>/</w:t>
            </w:r>
            <w:proofErr w:type="spellStart"/>
            <w:r w:rsidRPr="00116D0B">
              <w:rPr>
                <w:rFonts w:ascii="Garamond" w:eastAsia="Times New Roman" w:hAnsi="Garamond" w:cs="Calibri"/>
                <w:color w:val="0D0D0D"/>
                <w:sz w:val="24"/>
                <w:szCs w:val="24"/>
                <w:lang w:eastAsia="en-GB"/>
              </w:rPr>
              <w:t>Wuro</w:t>
            </w:r>
            <w:proofErr w:type="spellEnd"/>
            <w:r w:rsidRPr="00116D0B">
              <w:rPr>
                <w:rFonts w:ascii="Garamond" w:eastAsia="Times New Roman" w:hAnsi="Garamond" w:cs="Calibri"/>
                <w:color w:val="0D0D0D"/>
                <w:sz w:val="24"/>
                <w:szCs w:val="24"/>
                <w:lang w:eastAsia="en-GB"/>
              </w:rPr>
              <w:t xml:space="preserve"> </w:t>
            </w:r>
            <w:proofErr w:type="spellStart"/>
            <w:r w:rsidRPr="00116D0B">
              <w:rPr>
                <w:rFonts w:ascii="Garamond" w:eastAsia="Times New Roman" w:hAnsi="Garamond" w:cs="Calibri"/>
                <w:color w:val="0D0D0D"/>
                <w:sz w:val="24"/>
                <w:szCs w:val="24"/>
                <w:lang w:eastAsia="en-GB"/>
              </w:rPr>
              <w:t>Ngik</w:t>
            </w:r>
            <w:proofErr w:type="spellEnd"/>
          </w:p>
        </w:tc>
        <w:tc>
          <w:tcPr>
            <w:tcW w:w="1806" w:type="dxa"/>
            <w:hideMark/>
          </w:tcPr>
          <w:p w14:paraId="6949E745"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93.0%</w:t>
            </w:r>
          </w:p>
        </w:tc>
        <w:tc>
          <w:tcPr>
            <w:tcW w:w="0" w:type="auto"/>
            <w:hideMark/>
          </w:tcPr>
          <w:p w14:paraId="533A1FBA"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77DFFE5B"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4.7%</w:t>
            </w:r>
          </w:p>
        </w:tc>
        <w:tc>
          <w:tcPr>
            <w:tcW w:w="0" w:type="auto"/>
            <w:hideMark/>
          </w:tcPr>
          <w:p w14:paraId="672DD674"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2.3%</w:t>
            </w:r>
          </w:p>
        </w:tc>
        <w:tc>
          <w:tcPr>
            <w:tcW w:w="0" w:type="auto"/>
            <w:hideMark/>
          </w:tcPr>
          <w:p w14:paraId="64890178"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550EC9F8" w14:textId="77777777" w:rsidTr="003A1DC2">
        <w:trPr>
          <w:trHeight w:val="46"/>
        </w:trPr>
        <w:tc>
          <w:tcPr>
            <w:tcW w:w="2972" w:type="dxa"/>
            <w:hideMark/>
          </w:tcPr>
          <w:p w14:paraId="62B57F03" w14:textId="77777777" w:rsidR="003A1DC2" w:rsidRPr="00116D0B" w:rsidRDefault="003A1DC2" w:rsidP="003A1DC2">
            <w:pPr>
              <w:jc w:val="both"/>
              <w:rPr>
                <w:rFonts w:ascii="Garamond" w:eastAsia="Times New Roman" w:hAnsi="Garamond" w:cs="Calibri"/>
                <w:color w:val="0D0D0D"/>
                <w:sz w:val="24"/>
                <w:szCs w:val="24"/>
                <w:lang w:eastAsia="en-GB"/>
              </w:rPr>
            </w:pPr>
            <w:proofErr w:type="spellStart"/>
            <w:r w:rsidRPr="00116D0B">
              <w:rPr>
                <w:rFonts w:ascii="Garamond" w:eastAsia="Times New Roman" w:hAnsi="Garamond" w:cs="Calibri"/>
                <w:color w:val="0D0D0D"/>
                <w:sz w:val="24"/>
                <w:szCs w:val="24"/>
                <w:lang w:eastAsia="en-GB"/>
              </w:rPr>
              <w:t>Munkavicita</w:t>
            </w:r>
            <w:proofErr w:type="spellEnd"/>
          </w:p>
        </w:tc>
        <w:tc>
          <w:tcPr>
            <w:tcW w:w="1806" w:type="dxa"/>
            <w:hideMark/>
          </w:tcPr>
          <w:p w14:paraId="67D689DA"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100.0%</w:t>
            </w:r>
          </w:p>
        </w:tc>
        <w:tc>
          <w:tcPr>
            <w:tcW w:w="0" w:type="auto"/>
            <w:hideMark/>
          </w:tcPr>
          <w:p w14:paraId="2C736263"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619242E9"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431DC168"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679187AC"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3B90FDA3" w14:textId="77777777" w:rsidTr="003A1DC2">
        <w:trPr>
          <w:trHeight w:val="220"/>
        </w:trPr>
        <w:tc>
          <w:tcPr>
            <w:tcW w:w="2972" w:type="dxa"/>
            <w:hideMark/>
          </w:tcPr>
          <w:p w14:paraId="33670BEE"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Sina/Kamale/</w:t>
            </w:r>
            <w:proofErr w:type="spellStart"/>
            <w:r w:rsidRPr="00116D0B">
              <w:rPr>
                <w:rFonts w:ascii="Garamond" w:eastAsia="Times New Roman" w:hAnsi="Garamond" w:cs="Calibri"/>
                <w:color w:val="0D0D0D"/>
                <w:sz w:val="24"/>
                <w:szCs w:val="24"/>
                <w:lang w:eastAsia="en-GB"/>
              </w:rPr>
              <w:t>Kwande</w:t>
            </w:r>
            <w:proofErr w:type="spellEnd"/>
          </w:p>
        </w:tc>
        <w:tc>
          <w:tcPr>
            <w:tcW w:w="1806" w:type="dxa"/>
            <w:hideMark/>
          </w:tcPr>
          <w:p w14:paraId="13418553"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95.3%</w:t>
            </w:r>
          </w:p>
        </w:tc>
        <w:tc>
          <w:tcPr>
            <w:tcW w:w="0" w:type="auto"/>
            <w:hideMark/>
          </w:tcPr>
          <w:p w14:paraId="53A48F27"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2.3%</w:t>
            </w:r>
          </w:p>
        </w:tc>
        <w:tc>
          <w:tcPr>
            <w:tcW w:w="0" w:type="auto"/>
            <w:hideMark/>
          </w:tcPr>
          <w:p w14:paraId="6B14A860"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128C6995"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2.3%</w:t>
            </w:r>
          </w:p>
        </w:tc>
        <w:tc>
          <w:tcPr>
            <w:tcW w:w="0" w:type="auto"/>
            <w:hideMark/>
          </w:tcPr>
          <w:p w14:paraId="2FBB329A"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444F69BB" w14:textId="77777777" w:rsidTr="003A1DC2">
        <w:trPr>
          <w:trHeight w:val="229"/>
        </w:trPr>
        <w:tc>
          <w:tcPr>
            <w:tcW w:w="2972" w:type="dxa"/>
            <w:hideMark/>
          </w:tcPr>
          <w:p w14:paraId="445F18D3" w14:textId="77777777" w:rsidR="003A1DC2" w:rsidRPr="00116D0B" w:rsidRDefault="003A1DC2" w:rsidP="003A1DC2">
            <w:pPr>
              <w:jc w:val="both"/>
              <w:rPr>
                <w:rFonts w:ascii="Garamond" w:eastAsia="Times New Roman" w:hAnsi="Garamond" w:cs="Calibri"/>
                <w:color w:val="0D0D0D"/>
                <w:sz w:val="24"/>
                <w:szCs w:val="24"/>
                <w:lang w:eastAsia="en-GB"/>
              </w:rPr>
            </w:pPr>
            <w:proofErr w:type="spellStart"/>
            <w:r w:rsidRPr="00116D0B">
              <w:rPr>
                <w:rFonts w:ascii="Garamond" w:eastAsia="Times New Roman" w:hAnsi="Garamond" w:cs="Calibri"/>
                <w:color w:val="0D0D0D"/>
                <w:sz w:val="24"/>
                <w:szCs w:val="24"/>
                <w:lang w:eastAsia="en-GB"/>
              </w:rPr>
              <w:t>Tumbara</w:t>
            </w:r>
            <w:proofErr w:type="spellEnd"/>
            <w:r w:rsidRPr="00116D0B">
              <w:rPr>
                <w:rFonts w:ascii="Garamond" w:eastAsia="Times New Roman" w:hAnsi="Garamond" w:cs="Calibri"/>
                <w:color w:val="0D0D0D"/>
                <w:sz w:val="24"/>
                <w:szCs w:val="24"/>
                <w:lang w:eastAsia="en-GB"/>
              </w:rPr>
              <w:t>/</w:t>
            </w:r>
            <w:proofErr w:type="spellStart"/>
            <w:r w:rsidRPr="00116D0B">
              <w:rPr>
                <w:rFonts w:ascii="Garamond" w:eastAsia="Times New Roman" w:hAnsi="Garamond" w:cs="Calibri"/>
                <w:color w:val="0D0D0D"/>
                <w:sz w:val="24"/>
                <w:szCs w:val="24"/>
                <w:lang w:eastAsia="en-GB"/>
              </w:rPr>
              <w:t>Ngabili</w:t>
            </w:r>
            <w:proofErr w:type="spellEnd"/>
          </w:p>
        </w:tc>
        <w:tc>
          <w:tcPr>
            <w:tcW w:w="1806" w:type="dxa"/>
            <w:hideMark/>
          </w:tcPr>
          <w:p w14:paraId="0F4842DA"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99.0%</w:t>
            </w:r>
          </w:p>
        </w:tc>
        <w:tc>
          <w:tcPr>
            <w:tcW w:w="0" w:type="auto"/>
            <w:hideMark/>
          </w:tcPr>
          <w:p w14:paraId="623963C2"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1.0%</w:t>
            </w:r>
          </w:p>
        </w:tc>
        <w:tc>
          <w:tcPr>
            <w:tcW w:w="0" w:type="auto"/>
            <w:hideMark/>
          </w:tcPr>
          <w:p w14:paraId="4EB4FD04"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105B5FBE"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c>
          <w:tcPr>
            <w:tcW w:w="0" w:type="auto"/>
            <w:hideMark/>
          </w:tcPr>
          <w:p w14:paraId="1C74B4F9"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0.0%</w:t>
            </w:r>
          </w:p>
        </w:tc>
      </w:tr>
      <w:tr w:rsidR="003A1DC2" w:rsidRPr="00116D0B" w14:paraId="3D7EAB2B" w14:textId="77777777" w:rsidTr="003A1DC2">
        <w:trPr>
          <w:trHeight w:val="247"/>
        </w:trPr>
        <w:tc>
          <w:tcPr>
            <w:tcW w:w="2972" w:type="dxa"/>
            <w:hideMark/>
          </w:tcPr>
          <w:p w14:paraId="35980A65" w14:textId="77777777" w:rsidR="003A1DC2" w:rsidRPr="00116D0B" w:rsidRDefault="003A1DC2" w:rsidP="003A1DC2">
            <w:pPr>
              <w:jc w:val="both"/>
              <w:rPr>
                <w:rFonts w:ascii="Garamond" w:eastAsia="Times New Roman" w:hAnsi="Garamond" w:cs="Calibri"/>
                <w:color w:val="0D0D0D"/>
                <w:sz w:val="24"/>
                <w:szCs w:val="24"/>
                <w:lang w:eastAsia="en-GB"/>
              </w:rPr>
            </w:pPr>
            <w:proofErr w:type="spellStart"/>
            <w:r w:rsidRPr="00116D0B">
              <w:rPr>
                <w:rFonts w:ascii="Garamond" w:eastAsia="Times New Roman" w:hAnsi="Garamond" w:cs="Calibri"/>
                <w:color w:val="0D0D0D"/>
                <w:sz w:val="24"/>
                <w:szCs w:val="24"/>
                <w:lang w:eastAsia="en-GB"/>
              </w:rPr>
              <w:t>Wamblimi</w:t>
            </w:r>
            <w:proofErr w:type="spellEnd"/>
            <w:r w:rsidRPr="00116D0B">
              <w:rPr>
                <w:rFonts w:ascii="Garamond" w:eastAsia="Times New Roman" w:hAnsi="Garamond" w:cs="Calibri"/>
                <w:color w:val="0D0D0D"/>
                <w:sz w:val="24"/>
                <w:szCs w:val="24"/>
                <w:lang w:eastAsia="en-GB"/>
              </w:rPr>
              <w:t>/Tilli</w:t>
            </w:r>
          </w:p>
        </w:tc>
        <w:tc>
          <w:tcPr>
            <w:tcW w:w="1806" w:type="dxa"/>
            <w:hideMark/>
          </w:tcPr>
          <w:p w14:paraId="24D387E7"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88.9%</w:t>
            </w:r>
          </w:p>
        </w:tc>
        <w:tc>
          <w:tcPr>
            <w:tcW w:w="0" w:type="auto"/>
            <w:hideMark/>
          </w:tcPr>
          <w:p w14:paraId="62118022"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2.2%</w:t>
            </w:r>
          </w:p>
        </w:tc>
        <w:tc>
          <w:tcPr>
            <w:tcW w:w="0" w:type="auto"/>
            <w:hideMark/>
          </w:tcPr>
          <w:p w14:paraId="546D82AD"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2.2%</w:t>
            </w:r>
          </w:p>
        </w:tc>
        <w:tc>
          <w:tcPr>
            <w:tcW w:w="0" w:type="auto"/>
            <w:hideMark/>
          </w:tcPr>
          <w:p w14:paraId="083AF706"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2.2%</w:t>
            </w:r>
          </w:p>
        </w:tc>
        <w:tc>
          <w:tcPr>
            <w:tcW w:w="0" w:type="auto"/>
            <w:hideMark/>
          </w:tcPr>
          <w:p w14:paraId="5923624B" w14:textId="77777777" w:rsidR="003A1DC2" w:rsidRPr="00116D0B" w:rsidRDefault="003A1DC2" w:rsidP="003A1DC2">
            <w:pPr>
              <w:jc w:val="both"/>
              <w:rPr>
                <w:rFonts w:ascii="Garamond" w:eastAsia="Times New Roman" w:hAnsi="Garamond" w:cs="Calibri"/>
                <w:color w:val="0D0D0D"/>
                <w:sz w:val="24"/>
                <w:szCs w:val="24"/>
                <w:lang w:eastAsia="en-GB"/>
              </w:rPr>
            </w:pPr>
            <w:r w:rsidRPr="00116D0B">
              <w:rPr>
                <w:rFonts w:ascii="Garamond" w:eastAsia="Times New Roman" w:hAnsi="Garamond" w:cs="Calibri"/>
                <w:color w:val="0D0D0D"/>
                <w:sz w:val="24"/>
                <w:szCs w:val="24"/>
                <w:lang w:eastAsia="en-GB"/>
              </w:rPr>
              <w:t>4.4%</w:t>
            </w:r>
          </w:p>
        </w:tc>
      </w:tr>
      <w:tr w:rsidR="003A1DC2" w:rsidRPr="00116D0B" w14:paraId="65242FAB" w14:textId="77777777" w:rsidTr="003A1DC2">
        <w:trPr>
          <w:trHeight w:val="166"/>
        </w:trPr>
        <w:tc>
          <w:tcPr>
            <w:tcW w:w="2972" w:type="dxa"/>
            <w:hideMark/>
          </w:tcPr>
          <w:p w14:paraId="3F7954E2"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Total</w:t>
            </w:r>
          </w:p>
        </w:tc>
        <w:tc>
          <w:tcPr>
            <w:tcW w:w="1806" w:type="dxa"/>
            <w:hideMark/>
          </w:tcPr>
          <w:p w14:paraId="2CBA27C9"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95.9%</w:t>
            </w:r>
          </w:p>
        </w:tc>
        <w:tc>
          <w:tcPr>
            <w:tcW w:w="0" w:type="auto"/>
            <w:hideMark/>
          </w:tcPr>
          <w:p w14:paraId="7C952102"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1.2%</w:t>
            </w:r>
          </w:p>
        </w:tc>
        <w:tc>
          <w:tcPr>
            <w:tcW w:w="0" w:type="auto"/>
            <w:hideMark/>
          </w:tcPr>
          <w:p w14:paraId="00204583"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1.2%</w:t>
            </w:r>
          </w:p>
        </w:tc>
        <w:tc>
          <w:tcPr>
            <w:tcW w:w="0" w:type="auto"/>
            <w:hideMark/>
          </w:tcPr>
          <w:p w14:paraId="711768C3"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1.2%</w:t>
            </w:r>
          </w:p>
        </w:tc>
        <w:tc>
          <w:tcPr>
            <w:tcW w:w="0" w:type="auto"/>
            <w:hideMark/>
          </w:tcPr>
          <w:p w14:paraId="2A1AE732" w14:textId="77777777" w:rsidR="003A1DC2" w:rsidRPr="00116D0B" w:rsidRDefault="003A1DC2" w:rsidP="003A1DC2">
            <w:pPr>
              <w:jc w:val="both"/>
              <w:rPr>
                <w:rFonts w:ascii="Garamond" w:eastAsia="Times New Roman" w:hAnsi="Garamond" w:cs="Calibri"/>
                <w:b/>
                <w:color w:val="0D0D0D"/>
                <w:sz w:val="24"/>
                <w:szCs w:val="24"/>
                <w:lang w:eastAsia="en-GB"/>
              </w:rPr>
            </w:pPr>
            <w:r w:rsidRPr="00116D0B">
              <w:rPr>
                <w:rFonts w:ascii="Garamond" w:eastAsia="Times New Roman" w:hAnsi="Garamond" w:cs="Calibri"/>
                <w:b/>
                <w:color w:val="0D0D0D"/>
                <w:sz w:val="24"/>
                <w:szCs w:val="24"/>
                <w:lang w:eastAsia="en-GB"/>
              </w:rPr>
              <w:t>0.5%</w:t>
            </w:r>
          </w:p>
        </w:tc>
      </w:tr>
    </w:tbl>
    <w:p w14:paraId="71990431" w14:textId="53B0080D" w:rsidR="003A1DC2" w:rsidRPr="00116D0B" w:rsidRDefault="003A1DC2" w:rsidP="00C27173">
      <w:pPr>
        <w:pStyle w:val="Caption"/>
      </w:pPr>
      <w:bookmarkStart w:id="65" w:name="_Toc166704032"/>
      <w:r w:rsidRPr="00116D0B">
        <w:t xml:space="preserve">Table </w:t>
      </w:r>
      <w:fldSimple w:instr=" SEQ Table \* ARABIC ">
        <w:r w:rsidR="00116D0B" w:rsidRPr="00116D0B">
          <w:rPr>
            <w:noProof/>
          </w:rPr>
          <w:t>9</w:t>
        </w:r>
      </w:fldSimple>
      <w:r w:rsidRPr="00116D0B">
        <w:t>: Ethnic composition of respondents</w:t>
      </w:r>
      <w:bookmarkEnd w:id="65"/>
    </w:p>
    <w:p w14:paraId="0EA029A8" w14:textId="77777777" w:rsidR="002F4ACA" w:rsidRDefault="002F4ACA" w:rsidP="0065164D">
      <w:pPr>
        <w:widowControl/>
        <w:autoSpaceDE/>
        <w:autoSpaceDN/>
        <w:spacing w:before="240" w:after="240" w:line="276" w:lineRule="auto"/>
        <w:jc w:val="both"/>
        <w:rPr>
          <w:rFonts w:ascii="Garamond" w:eastAsia="Calibri" w:hAnsi="Garamond" w:cs="Calibri"/>
          <w:sz w:val="24"/>
          <w:szCs w:val="24"/>
          <w:lang w:val="en-GB"/>
        </w:rPr>
      </w:pPr>
    </w:p>
    <w:p w14:paraId="0AD6C49C" w14:textId="0A58E043" w:rsidR="003A1DC2" w:rsidRPr="00116D0B" w:rsidRDefault="003A1DC2" w:rsidP="0065164D">
      <w:pPr>
        <w:widowControl/>
        <w:autoSpaceDE/>
        <w:autoSpaceDN/>
        <w:spacing w:before="240" w:after="240" w:line="276"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 xml:space="preserve">The religious affiliation of the respondents indicate a predominantly Christian population, with an average of 96.1% across all ethnic groups. The highest Christian representation was observed in wards such as </w:t>
      </w:r>
      <w:proofErr w:type="spellStart"/>
      <w:r w:rsidRPr="00116D0B">
        <w:rPr>
          <w:rFonts w:ascii="Garamond" w:eastAsia="Calibri" w:hAnsi="Garamond" w:cs="Calibri"/>
          <w:sz w:val="24"/>
          <w:szCs w:val="24"/>
          <w:lang w:val="en-GB"/>
        </w:rPr>
        <w:t>Munkavicita</w:t>
      </w:r>
      <w:proofErr w:type="spellEnd"/>
      <w:r w:rsidRPr="00116D0B">
        <w:rPr>
          <w:rFonts w:ascii="Garamond" w:eastAsia="Calibri" w:hAnsi="Garamond" w:cs="Calibri"/>
          <w:sz w:val="24"/>
          <w:szCs w:val="24"/>
          <w:lang w:val="en-GB"/>
        </w:rPr>
        <w:t xml:space="preserve"> and </w:t>
      </w:r>
      <w:proofErr w:type="spellStart"/>
      <w:r w:rsidRPr="00116D0B">
        <w:rPr>
          <w:rFonts w:ascii="Garamond" w:eastAsia="Calibri" w:hAnsi="Garamond" w:cs="Calibri"/>
          <w:sz w:val="24"/>
          <w:szCs w:val="24"/>
          <w:lang w:val="en-GB"/>
        </w:rPr>
        <w:t>Tumbara</w:t>
      </w:r>
      <w:proofErr w:type="spellEnd"/>
      <w:r w:rsidRPr="00116D0B">
        <w:rPr>
          <w:rFonts w:ascii="Garamond" w:eastAsia="Calibri" w:hAnsi="Garamond" w:cs="Calibri"/>
          <w:sz w:val="24"/>
          <w:szCs w:val="24"/>
          <w:lang w:val="en-GB"/>
        </w:rPr>
        <w:t>/</w:t>
      </w:r>
      <w:proofErr w:type="spellStart"/>
      <w:r w:rsidRPr="00116D0B">
        <w:rPr>
          <w:rFonts w:ascii="Garamond" w:eastAsia="Calibri" w:hAnsi="Garamond" w:cs="Calibri"/>
          <w:sz w:val="24"/>
          <w:szCs w:val="24"/>
          <w:lang w:val="en-GB"/>
        </w:rPr>
        <w:t>Ngabili</w:t>
      </w:r>
      <w:proofErr w:type="spellEnd"/>
      <w:r w:rsidRPr="00116D0B">
        <w:rPr>
          <w:rFonts w:ascii="Garamond" w:eastAsia="Calibri" w:hAnsi="Garamond" w:cs="Calibri"/>
          <w:sz w:val="24"/>
          <w:szCs w:val="24"/>
          <w:lang w:val="en-GB"/>
        </w:rPr>
        <w:t>, where Christianity accounted for 100% of the respondents. See table 10 for more details</w:t>
      </w:r>
    </w:p>
    <w:p w14:paraId="42EEA8FA" w14:textId="0B8A2254"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p>
    <w:p w14:paraId="4D53B081" w14:textId="364C995B" w:rsidR="003A1DC2" w:rsidRPr="00116D0B" w:rsidRDefault="003A1DC2" w:rsidP="003A1DC2">
      <w:pPr>
        <w:widowControl/>
        <w:autoSpaceDE/>
        <w:autoSpaceDN/>
        <w:spacing w:before="240" w:after="240" w:line="276" w:lineRule="auto"/>
        <w:jc w:val="both"/>
        <w:rPr>
          <w:rFonts w:ascii="Garamond" w:eastAsia="Calibri" w:hAnsi="Garamond" w:cs="Calibri"/>
          <w:sz w:val="24"/>
          <w:szCs w:val="24"/>
          <w:lang w:val="en-GB"/>
        </w:rPr>
      </w:pPr>
    </w:p>
    <w:p w14:paraId="46E5DAB8" w14:textId="3FB9DF93" w:rsidR="003A1DC2" w:rsidRPr="00116D0B" w:rsidRDefault="003A1DC2" w:rsidP="00C27173">
      <w:pPr>
        <w:pStyle w:val="Caption"/>
      </w:pPr>
      <w:bookmarkStart w:id="66" w:name="_Toc166704033"/>
      <w:r w:rsidRPr="00116D0B">
        <w:lastRenderedPageBreak/>
        <w:t xml:space="preserve">Table </w:t>
      </w:r>
      <w:fldSimple w:instr=" SEQ Table \* ARABIC ">
        <w:r w:rsidR="00116D0B" w:rsidRPr="00116D0B">
          <w:rPr>
            <w:noProof/>
          </w:rPr>
          <w:t>10</w:t>
        </w:r>
      </w:fldSimple>
      <w:r w:rsidRPr="00116D0B">
        <w:t>: Religious affiliation of respondents</w:t>
      </w:r>
      <w:bookmarkEnd w:id="66"/>
    </w:p>
    <w:tbl>
      <w:tblPr>
        <w:tblStyle w:val="TableGrid"/>
        <w:tblpPr w:leftFromText="180" w:rightFromText="180" w:vertAnchor="text" w:horzAnchor="margin" w:tblpY="61"/>
        <w:tblW w:w="7650" w:type="dxa"/>
        <w:tblLook w:val="04A0" w:firstRow="1" w:lastRow="0" w:firstColumn="1" w:lastColumn="0" w:noHBand="0" w:noVBand="1"/>
      </w:tblPr>
      <w:tblGrid>
        <w:gridCol w:w="2865"/>
        <w:gridCol w:w="2233"/>
        <w:gridCol w:w="2552"/>
      </w:tblGrid>
      <w:tr w:rsidR="003A1DC2" w:rsidRPr="00116D0B" w14:paraId="429C10E1" w14:textId="77777777" w:rsidTr="003A1DC2">
        <w:trPr>
          <w:trHeight w:val="76"/>
        </w:trPr>
        <w:tc>
          <w:tcPr>
            <w:tcW w:w="2865" w:type="dxa"/>
            <w:shd w:val="clear" w:color="auto" w:fill="449E46"/>
            <w:hideMark/>
          </w:tcPr>
          <w:p w14:paraId="6F905BFA"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Ethnic groups</w:t>
            </w:r>
          </w:p>
        </w:tc>
        <w:tc>
          <w:tcPr>
            <w:tcW w:w="2233" w:type="dxa"/>
            <w:shd w:val="clear" w:color="auto" w:fill="449E46"/>
            <w:hideMark/>
          </w:tcPr>
          <w:p w14:paraId="10256DC0"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Christianity</w:t>
            </w:r>
          </w:p>
        </w:tc>
        <w:tc>
          <w:tcPr>
            <w:tcW w:w="2552" w:type="dxa"/>
            <w:shd w:val="clear" w:color="auto" w:fill="449E46"/>
            <w:hideMark/>
          </w:tcPr>
          <w:p w14:paraId="06F00FD5"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Islam</w:t>
            </w:r>
          </w:p>
        </w:tc>
      </w:tr>
      <w:tr w:rsidR="003A1DC2" w:rsidRPr="00116D0B" w14:paraId="27A30FB2" w14:textId="77777777" w:rsidTr="003A1DC2">
        <w:trPr>
          <w:trHeight w:val="46"/>
        </w:trPr>
        <w:tc>
          <w:tcPr>
            <w:tcW w:w="2865" w:type="dxa"/>
            <w:hideMark/>
          </w:tcPr>
          <w:p w14:paraId="784071E9"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Garta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Ghunchi</w:t>
            </w:r>
            <w:proofErr w:type="spellEnd"/>
          </w:p>
        </w:tc>
        <w:tc>
          <w:tcPr>
            <w:tcW w:w="2233" w:type="dxa"/>
            <w:hideMark/>
          </w:tcPr>
          <w:p w14:paraId="5B5EE03E"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95.3%</w:t>
            </w:r>
          </w:p>
        </w:tc>
        <w:tc>
          <w:tcPr>
            <w:tcW w:w="2552" w:type="dxa"/>
            <w:hideMark/>
          </w:tcPr>
          <w:p w14:paraId="61CD9A3D"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4.7%</w:t>
            </w:r>
          </w:p>
        </w:tc>
      </w:tr>
      <w:tr w:rsidR="003A1DC2" w:rsidRPr="00116D0B" w14:paraId="7EAE1BC8" w14:textId="77777777" w:rsidTr="003A1DC2">
        <w:tc>
          <w:tcPr>
            <w:tcW w:w="2865" w:type="dxa"/>
            <w:hideMark/>
          </w:tcPr>
          <w:p w14:paraId="359DEAF8"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Madzi</w:t>
            </w:r>
          </w:p>
        </w:tc>
        <w:tc>
          <w:tcPr>
            <w:tcW w:w="2233" w:type="dxa"/>
            <w:hideMark/>
          </w:tcPr>
          <w:p w14:paraId="064BF4A1"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95.1%</w:t>
            </w:r>
          </w:p>
        </w:tc>
        <w:tc>
          <w:tcPr>
            <w:tcW w:w="2552" w:type="dxa"/>
            <w:hideMark/>
          </w:tcPr>
          <w:p w14:paraId="2AF4715F"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4.9%</w:t>
            </w:r>
          </w:p>
        </w:tc>
      </w:tr>
      <w:tr w:rsidR="003A1DC2" w:rsidRPr="00116D0B" w14:paraId="75CCB2BD" w14:textId="77777777" w:rsidTr="003A1DC2">
        <w:tc>
          <w:tcPr>
            <w:tcW w:w="2865" w:type="dxa"/>
            <w:hideMark/>
          </w:tcPr>
          <w:p w14:paraId="786CB26D"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Michika II</w:t>
            </w:r>
          </w:p>
        </w:tc>
        <w:tc>
          <w:tcPr>
            <w:tcW w:w="2233" w:type="dxa"/>
            <w:hideMark/>
          </w:tcPr>
          <w:p w14:paraId="7D05F9A7"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87.3%</w:t>
            </w:r>
          </w:p>
        </w:tc>
        <w:tc>
          <w:tcPr>
            <w:tcW w:w="2552" w:type="dxa"/>
            <w:hideMark/>
          </w:tcPr>
          <w:p w14:paraId="694777D2"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12.7%</w:t>
            </w:r>
          </w:p>
        </w:tc>
      </w:tr>
      <w:tr w:rsidR="003A1DC2" w:rsidRPr="00116D0B" w14:paraId="652220E0" w14:textId="77777777" w:rsidTr="003A1DC2">
        <w:tc>
          <w:tcPr>
            <w:tcW w:w="2865" w:type="dxa"/>
            <w:hideMark/>
          </w:tcPr>
          <w:p w14:paraId="48F1FBBD"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Minkisi</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Wuro</w:t>
            </w:r>
            <w:proofErr w:type="spellEnd"/>
            <w:r w:rsidRPr="00116D0B">
              <w:rPr>
                <w:rFonts w:ascii="Garamond" w:eastAsia="Calibri" w:hAnsi="Garamond" w:cs="Calibri"/>
                <w:sz w:val="24"/>
                <w:szCs w:val="24"/>
              </w:rPr>
              <w:t xml:space="preserve"> </w:t>
            </w:r>
            <w:proofErr w:type="spellStart"/>
            <w:r w:rsidRPr="00116D0B">
              <w:rPr>
                <w:rFonts w:ascii="Garamond" w:eastAsia="Calibri" w:hAnsi="Garamond" w:cs="Calibri"/>
                <w:sz w:val="24"/>
                <w:szCs w:val="24"/>
              </w:rPr>
              <w:t>Ngik</w:t>
            </w:r>
            <w:proofErr w:type="spellEnd"/>
          </w:p>
        </w:tc>
        <w:tc>
          <w:tcPr>
            <w:tcW w:w="2233" w:type="dxa"/>
            <w:hideMark/>
          </w:tcPr>
          <w:p w14:paraId="06535DE7"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95.3%</w:t>
            </w:r>
          </w:p>
        </w:tc>
        <w:tc>
          <w:tcPr>
            <w:tcW w:w="2552" w:type="dxa"/>
            <w:hideMark/>
          </w:tcPr>
          <w:p w14:paraId="47460B09"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4.7%</w:t>
            </w:r>
          </w:p>
        </w:tc>
      </w:tr>
      <w:tr w:rsidR="003A1DC2" w:rsidRPr="00116D0B" w14:paraId="7066FCB0" w14:textId="77777777" w:rsidTr="003A1DC2">
        <w:tc>
          <w:tcPr>
            <w:tcW w:w="2865" w:type="dxa"/>
            <w:hideMark/>
          </w:tcPr>
          <w:p w14:paraId="69540B96"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Munkavicita</w:t>
            </w:r>
            <w:proofErr w:type="spellEnd"/>
          </w:p>
        </w:tc>
        <w:tc>
          <w:tcPr>
            <w:tcW w:w="2233" w:type="dxa"/>
            <w:hideMark/>
          </w:tcPr>
          <w:p w14:paraId="584D6E01"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100.0%</w:t>
            </w:r>
          </w:p>
        </w:tc>
        <w:tc>
          <w:tcPr>
            <w:tcW w:w="2552" w:type="dxa"/>
            <w:hideMark/>
          </w:tcPr>
          <w:p w14:paraId="2D820783"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4F197288" w14:textId="77777777" w:rsidTr="003A1DC2">
        <w:tc>
          <w:tcPr>
            <w:tcW w:w="2865" w:type="dxa"/>
            <w:hideMark/>
          </w:tcPr>
          <w:p w14:paraId="39F8CC72"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Sina/Kamale/</w:t>
            </w:r>
            <w:proofErr w:type="spellStart"/>
            <w:r w:rsidRPr="00116D0B">
              <w:rPr>
                <w:rFonts w:ascii="Garamond" w:eastAsia="Calibri" w:hAnsi="Garamond" w:cs="Calibri"/>
                <w:sz w:val="24"/>
                <w:szCs w:val="24"/>
              </w:rPr>
              <w:t>Kwande</w:t>
            </w:r>
            <w:proofErr w:type="spellEnd"/>
          </w:p>
        </w:tc>
        <w:tc>
          <w:tcPr>
            <w:tcW w:w="2233" w:type="dxa"/>
            <w:hideMark/>
          </w:tcPr>
          <w:p w14:paraId="18C80975"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95.3%</w:t>
            </w:r>
          </w:p>
        </w:tc>
        <w:tc>
          <w:tcPr>
            <w:tcW w:w="2552" w:type="dxa"/>
            <w:hideMark/>
          </w:tcPr>
          <w:p w14:paraId="4D1F9163"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4.7%</w:t>
            </w:r>
          </w:p>
        </w:tc>
      </w:tr>
      <w:tr w:rsidR="003A1DC2" w:rsidRPr="00116D0B" w14:paraId="3B53EDE3" w14:textId="77777777" w:rsidTr="003A1DC2">
        <w:tc>
          <w:tcPr>
            <w:tcW w:w="2865" w:type="dxa"/>
            <w:hideMark/>
          </w:tcPr>
          <w:p w14:paraId="1E4BB701"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Tumbara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Ngabili</w:t>
            </w:r>
            <w:proofErr w:type="spellEnd"/>
          </w:p>
        </w:tc>
        <w:tc>
          <w:tcPr>
            <w:tcW w:w="2233" w:type="dxa"/>
            <w:hideMark/>
          </w:tcPr>
          <w:p w14:paraId="59B874E8"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100.0%</w:t>
            </w:r>
          </w:p>
        </w:tc>
        <w:tc>
          <w:tcPr>
            <w:tcW w:w="2552" w:type="dxa"/>
            <w:hideMark/>
          </w:tcPr>
          <w:p w14:paraId="1469D66E"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62264359" w14:textId="77777777" w:rsidTr="003A1DC2">
        <w:tc>
          <w:tcPr>
            <w:tcW w:w="2865" w:type="dxa"/>
            <w:hideMark/>
          </w:tcPr>
          <w:p w14:paraId="1DD9F296"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Wamblimi</w:t>
            </w:r>
            <w:proofErr w:type="spellEnd"/>
            <w:r w:rsidRPr="00116D0B">
              <w:rPr>
                <w:rFonts w:ascii="Garamond" w:eastAsia="Calibri" w:hAnsi="Garamond" w:cs="Calibri"/>
                <w:sz w:val="24"/>
                <w:szCs w:val="24"/>
              </w:rPr>
              <w:t>/Tilli</w:t>
            </w:r>
          </w:p>
        </w:tc>
        <w:tc>
          <w:tcPr>
            <w:tcW w:w="2233" w:type="dxa"/>
            <w:hideMark/>
          </w:tcPr>
          <w:p w14:paraId="4D3C2528"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97.8%</w:t>
            </w:r>
          </w:p>
        </w:tc>
        <w:tc>
          <w:tcPr>
            <w:tcW w:w="2552" w:type="dxa"/>
            <w:hideMark/>
          </w:tcPr>
          <w:p w14:paraId="176A4002"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2.2%</w:t>
            </w:r>
          </w:p>
        </w:tc>
      </w:tr>
      <w:tr w:rsidR="003A1DC2" w:rsidRPr="00116D0B" w14:paraId="3C49DA85" w14:textId="77777777" w:rsidTr="003A1DC2">
        <w:tc>
          <w:tcPr>
            <w:tcW w:w="2865" w:type="dxa"/>
            <w:hideMark/>
          </w:tcPr>
          <w:p w14:paraId="70F29721" w14:textId="7EBD1105"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Total</w:t>
            </w:r>
          </w:p>
        </w:tc>
        <w:tc>
          <w:tcPr>
            <w:tcW w:w="2233" w:type="dxa"/>
            <w:hideMark/>
          </w:tcPr>
          <w:p w14:paraId="259CB91D" w14:textId="77777777"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96.1%</w:t>
            </w:r>
          </w:p>
        </w:tc>
        <w:tc>
          <w:tcPr>
            <w:tcW w:w="2552" w:type="dxa"/>
            <w:hideMark/>
          </w:tcPr>
          <w:p w14:paraId="08764536" w14:textId="77777777"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3.9%</w:t>
            </w:r>
          </w:p>
        </w:tc>
      </w:tr>
    </w:tbl>
    <w:p w14:paraId="4804DF3D" w14:textId="33FBC942" w:rsidR="003A1DC2" w:rsidRPr="00116D0B" w:rsidRDefault="003A1DC2" w:rsidP="003A1DC2">
      <w:pPr>
        <w:widowControl/>
        <w:autoSpaceDE/>
        <w:autoSpaceDN/>
        <w:spacing w:before="240" w:after="240" w:line="276" w:lineRule="auto"/>
        <w:jc w:val="both"/>
        <w:rPr>
          <w:rFonts w:ascii="Garamond" w:eastAsia="Calibri" w:hAnsi="Garamond" w:cs="Calibri"/>
          <w:sz w:val="24"/>
          <w:szCs w:val="24"/>
        </w:rPr>
      </w:pPr>
    </w:p>
    <w:p w14:paraId="0CA11C96" w14:textId="77777777" w:rsidR="003A1DC2" w:rsidRPr="00116D0B" w:rsidRDefault="003A1DC2" w:rsidP="003A1DC2">
      <w:pPr>
        <w:rPr>
          <w:rFonts w:ascii="Garamond" w:eastAsia="Calibri" w:hAnsi="Garamond" w:cs="Calibri"/>
          <w:sz w:val="24"/>
          <w:szCs w:val="24"/>
        </w:rPr>
      </w:pPr>
    </w:p>
    <w:p w14:paraId="70060E6F" w14:textId="77777777" w:rsidR="003A1DC2" w:rsidRPr="00116D0B" w:rsidRDefault="003A1DC2" w:rsidP="003A1DC2">
      <w:pPr>
        <w:rPr>
          <w:rFonts w:ascii="Garamond" w:eastAsia="Calibri" w:hAnsi="Garamond" w:cs="Calibri"/>
          <w:sz w:val="24"/>
          <w:szCs w:val="24"/>
        </w:rPr>
      </w:pPr>
    </w:p>
    <w:p w14:paraId="3A58612B" w14:textId="77777777" w:rsidR="003A1DC2" w:rsidRPr="00116D0B" w:rsidRDefault="003A1DC2" w:rsidP="003A1DC2">
      <w:pPr>
        <w:rPr>
          <w:rFonts w:ascii="Garamond" w:eastAsia="Calibri" w:hAnsi="Garamond" w:cs="Calibri"/>
          <w:sz w:val="24"/>
          <w:szCs w:val="24"/>
        </w:rPr>
      </w:pPr>
    </w:p>
    <w:p w14:paraId="3D327DCE" w14:textId="77777777" w:rsidR="003A1DC2" w:rsidRPr="00116D0B" w:rsidRDefault="003A1DC2" w:rsidP="003A1DC2">
      <w:pPr>
        <w:rPr>
          <w:rFonts w:ascii="Garamond" w:eastAsia="Calibri" w:hAnsi="Garamond" w:cs="Calibri"/>
          <w:sz w:val="24"/>
          <w:szCs w:val="24"/>
        </w:rPr>
      </w:pPr>
    </w:p>
    <w:p w14:paraId="0DB2F69C" w14:textId="77777777" w:rsidR="003A1DC2" w:rsidRPr="00116D0B" w:rsidRDefault="003A1DC2" w:rsidP="003A1DC2">
      <w:pPr>
        <w:rPr>
          <w:rFonts w:ascii="Garamond" w:eastAsia="Calibri" w:hAnsi="Garamond" w:cs="Calibri"/>
          <w:sz w:val="24"/>
          <w:szCs w:val="24"/>
        </w:rPr>
      </w:pPr>
    </w:p>
    <w:p w14:paraId="3CBCF3AF" w14:textId="77777777" w:rsidR="003A1DC2" w:rsidRPr="00116D0B" w:rsidRDefault="003A1DC2" w:rsidP="003A1DC2">
      <w:pPr>
        <w:rPr>
          <w:rFonts w:ascii="Garamond" w:eastAsia="Calibri" w:hAnsi="Garamond" w:cs="Calibri"/>
          <w:sz w:val="24"/>
          <w:szCs w:val="24"/>
        </w:rPr>
      </w:pPr>
    </w:p>
    <w:p w14:paraId="42B71C9C" w14:textId="77777777" w:rsidR="003A1DC2" w:rsidRPr="00116D0B" w:rsidRDefault="003A1DC2" w:rsidP="003A1DC2">
      <w:pPr>
        <w:rPr>
          <w:rFonts w:ascii="Garamond" w:eastAsia="Calibri" w:hAnsi="Garamond" w:cs="Calibri"/>
          <w:sz w:val="24"/>
          <w:szCs w:val="24"/>
        </w:rPr>
      </w:pPr>
    </w:p>
    <w:p w14:paraId="7ED341C7" w14:textId="77777777" w:rsidR="003A1DC2" w:rsidRPr="00116D0B" w:rsidRDefault="003A1DC2" w:rsidP="003A1DC2">
      <w:pPr>
        <w:spacing w:before="240" w:after="240" w:line="276" w:lineRule="auto"/>
        <w:rPr>
          <w:rFonts w:ascii="Garamond" w:eastAsia="Calibri" w:hAnsi="Garamond" w:cs="Calibri"/>
          <w:sz w:val="24"/>
          <w:szCs w:val="24"/>
        </w:rPr>
      </w:pPr>
    </w:p>
    <w:p w14:paraId="692996DC" w14:textId="00727CD4"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Regarding the disability status of respondents, the findings revealed that the majority of respondents</w:t>
      </w:r>
      <w:r w:rsidR="001D1A34">
        <w:rPr>
          <w:rFonts w:ascii="Garamond" w:eastAsia="Calibri" w:hAnsi="Garamond" w:cs="Calibri"/>
          <w:sz w:val="24"/>
          <w:szCs w:val="24"/>
        </w:rPr>
        <w:t xml:space="preserve"> (92.5%)</w:t>
      </w:r>
      <w:r w:rsidRPr="00116D0B">
        <w:rPr>
          <w:rFonts w:ascii="Garamond" w:eastAsia="Calibri" w:hAnsi="Garamond" w:cs="Calibri"/>
          <w:sz w:val="24"/>
          <w:szCs w:val="24"/>
        </w:rPr>
        <w:t xml:space="preserve"> do not consider themselves physically disabled</w:t>
      </w:r>
      <w:r w:rsidR="001D1A34">
        <w:rPr>
          <w:rFonts w:ascii="Garamond" w:eastAsia="Calibri" w:hAnsi="Garamond" w:cs="Calibri"/>
          <w:sz w:val="24"/>
          <w:szCs w:val="24"/>
        </w:rPr>
        <w:t xml:space="preserve"> </w:t>
      </w:r>
      <w:r w:rsidRPr="00116D0B">
        <w:rPr>
          <w:rFonts w:ascii="Garamond" w:eastAsia="Calibri" w:hAnsi="Garamond" w:cs="Calibri"/>
          <w:sz w:val="24"/>
          <w:szCs w:val="24"/>
        </w:rPr>
        <w:t>across all wards as shown in the table below</w:t>
      </w:r>
      <w:r w:rsidR="000F2DFD">
        <w:rPr>
          <w:rFonts w:ascii="Garamond" w:eastAsia="Calibri" w:hAnsi="Garamond" w:cs="Calibri"/>
          <w:sz w:val="24"/>
          <w:szCs w:val="24"/>
        </w:rPr>
        <w:t>.</w:t>
      </w:r>
    </w:p>
    <w:p w14:paraId="05820572" w14:textId="50E0F84B" w:rsidR="003A1DC2" w:rsidRPr="00116D0B" w:rsidRDefault="003A1DC2" w:rsidP="00C27173">
      <w:pPr>
        <w:pStyle w:val="Caption"/>
      </w:pPr>
      <w:bookmarkStart w:id="67" w:name="_Toc166704034"/>
      <w:r w:rsidRPr="00116D0B">
        <w:t xml:space="preserve">Table </w:t>
      </w:r>
      <w:fldSimple w:instr=" SEQ Table \* ARABIC ">
        <w:r w:rsidR="00116D0B" w:rsidRPr="00116D0B">
          <w:rPr>
            <w:noProof/>
          </w:rPr>
          <w:t>11</w:t>
        </w:r>
      </w:fldSimple>
      <w:r w:rsidRPr="00116D0B">
        <w:t>: Disability status of the respondents</w:t>
      </w:r>
      <w:bookmarkEnd w:id="67"/>
    </w:p>
    <w:tbl>
      <w:tblPr>
        <w:tblStyle w:val="TableGrid"/>
        <w:tblpPr w:leftFromText="180" w:rightFromText="180" w:vertAnchor="text" w:horzAnchor="margin" w:tblpY="14"/>
        <w:tblW w:w="7825" w:type="dxa"/>
        <w:tblLook w:val="04A0" w:firstRow="1" w:lastRow="0" w:firstColumn="1" w:lastColumn="0" w:noHBand="0" w:noVBand="1"/>
      </w:tblPr>
      <w:tblGrid>
        <w:gridCol w:w="5125"/>
        <w:gridCol w:w="1350"/>
        <w:gridCol w:w="1350"/>
      </w:tblGrid>
      <w:tr w:rsidR="003A1DC2" w:rsidRPr="00116D0B" w14:paraId="23C7D701" w14:textId="77777777" w:rsidTr="003A1DC2">
        <w:trPr>
          <w:trHeight w:val="171"/>
        </w:trPr>
        <w:tc>
          <w:tcPr>
            <w:tcW w:w="5125" w:type="dxa"/>
            <w:shd w:val="clear" w:color="auto" w:fill="207220"/>
            <w:hideMark/>
          </w:tcPr>
          <w:p w14:paraId="5B64AA5B"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Do you consider yourself physically disabled?</w:t>
            </w:r>
          </w:p>
        </w:tc>
        <w:tc>
          <w:tcPr>
            <w:tcW w:w="1350" w:type="dxa"/>
            <w:shd w:val="clear" w:color="auto" w:fill="207220"/>
            <w:hideMark/>
          </w:tcPr>
          <w:p w14:paraId="3FE85108"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No</w:t>
            </w:r>
          </w:p>
        </w:tc>
        <w:tc>
          <w:tcPr>
            <w:tcW w:w="1350" w:type="dxa"/>
            <w:shd w:val="clear" w:color="auto" w:fill="207220"/>
            <w:hideMark/>
          </w:tcPr>
          <w:p w14:paraId="4E796FEE" w14:textId="77777777" w:rsidR="003A1DC2" w:rsidRPr="00116D0B" w:rsidRDefault="003A1DC2" w:rsidP="003A1DC2">
            <w:pPr>
              <w:spacing w:line="276" w:lineRule="auto"/>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Yes</w:t>
            </w:r>
          </w:p>
        </w:tc>
      </w:tr>
      <w:tr w:rsidR="003A1DC2" w:rsidRPr="00116D0B" w14:paraId="6BB7B215" w14:textId="77777777" w:rsidTr="003A1DC2">
        <w:trPr>
          <w:trHeight w:val="180"/>
        </w:trPr>
        <w:tc>
          <w:tcPr>
            <w:tcW w:w="5125" w:type="dxa"/>
            <w:hideMark/>
          </w:tcPr>
          <w:p w14:paraId="448FF729"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Garta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Ghunchi</w:t>
            </w:r>
            <w:proofErr w:type="spellEnd"/>
          </w:p>
        </w:tc>
        <w:tc>
          <w:tcPr>
            <w:tcW w:w="1350" w:type="dxa"/>
            <w:hideMark/>
          </w:tcPr>
          <w:p w14:paraId="6209C9C4"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90.7%</w:t>
            </w:r>
          </w:p>
        </w:tc>
        <w:tc>
          <w:tcPr>
            <w:tcW w:w="1350" w:type="dxa"/>
            <w:hideMark/>
          </w:tcPr>
          <w:p w14:paraId="2C8E574B"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9.3%</w:t>
            </w:r>
          </w:p>
        </w:tc>
      </w:tr>
      <w:tr w:rsidR="003A1DC2" w:rsidRPr="00116D0B" w14:paraId="34406BE8" w14:textId="77777777" w:rsidTr="003A1DC2">
        <w:trPr>
          <w:trHeight w:val="46"/>
        </w:trPr>
        <w:tc>
          <w:tcPr>
            <w:tcW w:w="5125" w:type="dxa"/>
            <w:hideMark/>
          </w:tcPr>
          <w:p w14:paraId="0137C7AB"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Madzi</w:t>
            </w:r>
          </w:p>
        </w:tc>
        <w:tc>
          <w:tcPr>
            <w:tcW w:w="1350" w:type="dxa"/>
            <w:hideMark/>
          </w:tcPr>
          <w:p w14:paraId="53F39E4C"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90.2%</w:t>
            </w:r>
          </w:p>
        </w:tc>
        <w:tc>
          <w:tcPr>
            <w:tcW w:w="1350" w:type="dxa"/>
            <w:hideMark/>
          </w:tcPr>
          <w:p w14:paraId="440CA5C6"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9.8%</w:t>
            </w:r>
          </w:p>
        </w:tc>
      </w:tr>
      <w:tr w:rsidR="003A1DC2" w:rsidRPr="00116D0B" w14:paraId="2AC48C1A" w14:textId="77777777" w:rsidTr="003A1DC2">
        <w:trPr>
          <w:trHeight w:val="279"/>
        </w:trPr>
        <w:tc>
          <w:tcPr>
            <w:tcW w:w="5125" w:type="dxa"/>
            <w:hideMark/>
          </w:tcPr>
          <w:p w14:paraId="267867FE"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Michika II</w:t>
            </w:r>
          </w:p>
        </w:tc>
        <w:tc>
          <w:tcPr>
            <w:tcW w:w="1350" w:type="dxa"/>
            <w:hideMark/>
          </w:tcPr>
          <w:p w14:paraId="743A4467"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92.7%</w:t>
            </w:r>
          </w:p>
        </w:tc>
        <w:tc>
          <w:tcPr>
            <w:tcW w:w="1350" w:type="dxa"/>
            <w:hideMark/>
          </w:tcPr>
          <w:p w14:paraId="7A5F080B"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7.3%</w:t>
            </w:r>
          </w:p>
        </w:tc>
      </w:tr>
      <w:tr w:rsidR="003A1DC2" w:rsidRPr="00116D0B" w14:paraId="1197AD35" w14:textId="77777777" w:rsidTr="003A1DC2">
        <w:trPr>
          <w:trHeight w:val="252"/>
        </w:trPr>
        <w:tc>
          <w:tcPr>
            <w:tcW w:w="5125" w:type="dxa"/>
            <w:hideMark/>
          </w:tcPr>
          <w:p w14:paraId="513F8FE5"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Minkisi</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Wuro</w:t>
            </w:r>
            <w:proofErr w:type="spellEnd"/>
            <w:r w:rsidRPr="00116D0B">
              <w:rPr>
                <w:rFonts w:ascii="Garamond" w:eastAsia="Calibri" w:hAnsi="Garamond" w:cs="Calibri"/>
                <w:sz w:val="24"/>
                <w:szCs w:val="24"/>
              </w:rPr>
              <w:t xml:space="preserve"> </w:t>
            </w:r>
            <w:proofErr w:type="spellStart"/>
            <w:r w:rsidRPr="00116D0B">
              <w:rPr>
                <w:rFonts w:ascii="Garamond" w:eastAsia="Calibri" w:hAnsi="Garamond" w:cs="Calibri"/>
                <w:sz w:val="24"/>
                <w:szCs w:val="24"/>
              </w:rPr>
              <w:t>Ngik</w:t>
            </w:r>
            <w:proofErr w:type="spellEnd"/>
          </w:p>
        </w:tc>
        <w:tc>
          <w:tcPr>
            <w:tcW w:w="1350" w:type="dxa"/>
            <w:hideMark/>
          </w:tcPr>
          <w:p w14:paraId="0E8024DA"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100.0%</w:t>
            </w:r>
          </w:p>
        </w:tc>
        <w:tc>
          <w:tcPr>
            <w:tcW w:w="1350" w:type="dxa"/>
            <w:hideMark/>
          </w:tcPr>
          <w:p w14:paraId="65127ECF"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6944DC15" w14:textId="77777777" w:rsidTr="003A1DC2">
        <w:trPr>
          <w:trHeight w:val="225"/>
        </w:trPr>
        <w:tc>
          <w:tcPr>
            <w:tcW w:w="5125" w:type="dxa"/>
            <w:hideMark/>
          </w:tcPr>
          <w:p w14:paraId="02DC9436"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Munkavicita</w:t>
            </w:r>
            <w:proofErr w:type="spellEnd"/>
          </w:p>
        </w:tc>
        <w:tc>
          <w:tcPr>
            <w:tcW w:w="1350" w:type="dxa"/>
            <w:hideMark/>
          </w:tcPr>
          <w:p w14:paraId="632E99CE"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97.7%</w:t>
            </w:r>
          </w:p>
        </w:tc>
        <w:tc>
          <w:tcPr>
            <w:tcW w:w="1350" w:type="dxa"/>
            <w:hideMark/>
          </w:tcPr>
          <w:p w14:paraId="0DCF6AE7"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2.3%</w:t>
            </w:r>
          </w:p>
        </w:tc>
      </w:tr>
      <w:tr w:rsidR="003A1DC2" w:rsidRPr="00116D0B" w14:paraId="5A941DF5" w14:textId="77777777" w:rsidTr="003A1DC2">
        <w:trPr>
          <w:trHeight w:val="198"/>
        </w:trPr>
        <w:tc>
          <w:tcPr>
            <w:tcW w:w="5125" w:type="dxa"/>
            <w:hideMark/>
          </w:tcPr>
          <w:p w14:paraId="11BC0C5D"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Sina/Kamale/</w:t>
            </w:r>
            <w:proofErr w:type="spellStart"/>
            <w:r w:rsidRPr="00116D0B">
              <w:rPr>
                <w:rFonts w:ascii="Garamond" w:eastAsia="Calibri" w:hAnsi="Garamond" w:cs="Calibri"/>
                <w:sz w:val="24"/>
                <w:szCs w:val="24"/>
              </w:rPr>
              <w:t>Kwande</w:t>
            </w:r>
            <w:proofErr w:type="spellEnd"/>
          </w:p>
        </w:tc>
        <w:tc>
          <w:tcPr>
            <w:tcW w:w="1350" w:type="dxa"/>
            <w:hideMark/>
          </w:tcPr>
          <w:p w14:paraId="7633137D"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93.0%</w:t>
            </w:r>
          </w:p>
        </w:tc>
        <w:tc>
          <w:tcPr>
            <w:tcW w:w="1350" w:type="dxa"/>
            <w:hideMark/>
          </w:tcPr>
          <w:p w14:paraId="207F9C19"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7.0%</w:t>
            </w:r>
          </w:p>
        </w:tc>
      </w:tr>
      <w:tr w:rsidR="003A1DC2" w:rsidRPr="00116D0B" w14:paraId="77E8EF6F" w14:textId="77777777" w:rsidTr="003A1DC2">
        <w:trPr>
          <w:trHeight w:val="180"/>
        </w:trPr>
        <w:tc>
          <w:tcPr>
            <w:tcW w:w="5125" w:type="dxa"/>
            <w:hideMark/>
          </w:tcPr>
          <w:p w14:paraId="7F4E26A7"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Tumbara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Ngabili</w:t>
            </w:r>
            <w:proofErr w:type="spellEnd"/>
          </w:p>
        </w:tc>
        <w:tc>
          <w:tcPr>
            <w:tcW w:w="1350" w:type="dxa"/>
            <w:hideMark/>
          </w:tcPr>
          <w:p w14:paraId="742DCF06"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90.1%</w:t>
            </w:r>
          </w:p>
        </w:tc>
        <w:tc>
          <w:tcPr>
            <w:tcW w:w="1350" w:type="dxa"/>
            <w:hideMark/>
          </w:tcPr>
          <w:p w14:paraId="1C6C0AD9"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9.9%</w:t>
            </w:r>
          </w:p>
        </w:tc>
      </w:tr>
      <w:tr w:rsidR="003A1DC2" w:rsidRPr="00116D0B" w14:paraId="5BD19040" w14:textId="77777777" w:rsidTr="003A1DC2">
        <w:trPr>
          <w:trHeight w:val="243"/>
        </w:trPr>
        <w:tc>
          <w:tcPr>
            <w:tcW w:w="5125" w:type="dxa"/>
            <w:hideMark/>
          </w:tcPr>
          <w:p w14:paraId="3E3675E7" w14:textId="77777777" w:rsidR="003A1DC2" w:rsidRPr="00116D0B" w:rsidRDefault="003A1DC2" w:rsidP="003A1DC2">
            <w:pPr>
              <w:spacing w:line="276" w:lineRule="auto"/>
              <w:jc w:val="both"/>
              <w:rPr>
                <w:rFonts w:ascii="Garamond" w:eastAsia="Calibri" w:hAnsi="Garamond" w:cs="Calibri"/>
                <w:sz w:val="24"/>
                <w:szCs w:val="24"/>
              </w:rPr>
            </w:pPr>
            <w:proofErr w:type="spellStart"/>
            <w:r w:rsidRPr="00116D0B">
              <w:rPr>
                <w:rFonts w:ascii="Garamond" w:eastAsia="Calibri" w:hAnsi="Garamond" w:cs="Calibri"/>
                <w:sz w:val="24"/>
                <w:szCs w:val="24"/>
              </w:rPr>
              <w:t>Wamblimi</w:t>
            </w:r>
            <w:proofErr w:type="spellEnd"/>
            <w:r w:rsidRPr="00116D0B">
              <w:rPr>
                <w:rFonts w:ascii="Garamond" w:eastAsia="Calibri" w:hAnsi="Garamond" w:cs="Calibri"/>
                <w:sz w:val="24"/>
                <w:szCs w:val="24"/>
              </w:rPr>
              <w:t>/Tilli</w:t>
            </w:r>
          </w:p>
        </w:tc>
        <w:tc>
          <w:tcPr>
            <w:tcW w:w="1350" w:type="dxa"/>
            <w:hideMark/>
          </w:tcPr>
          <w:p w14:paraId="4A55ED11"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88.9%</w:t>
            </w:r>
          </w:p>
        </w:tc>
        <w:tc>
          <w:tcPr>
            <w:tcW w:w="1350" w:type="dxa"/>
            <w:hideMark/>
          </w:tcPr>
          <w:p w14:paraId="5D749052" w14:textId="77777777" w:rsidR="003A1DC2" w:rsidRPr="00116D0B" w:rsidRDefault="003A1DC2" w:rsidP="003A1DC2">
            <w:pPr>
              <w:spacing w:line="276" w:lineRule="auto"/>
              <w:jc w:val="both"/>
              <w:rPr>
                <w:rFonts w:ascii="Garamond" w:eastAsia="Calibri" w:hAnsi="Garamond" w:cs="Calibri"/>
                <w:sz w:val="24"/>
                <w:szCs w:val="24"/>
              </w:rPr>
            </w:pPr>
            <w:r w:rsidRPr="00116D0B">
              <w:rPr>
                <w:rFonts w:ascii="Garamond" w:eastAsia="Calibri" w:hAnsi="Garamond" w:cs="Calibri"/>
                <w:sz w:val="24"/>
                <w:szCs w:val="24"/>
              </w:rPr>
              <w:t>11.1%</w:t>
            </w:r>
          </w:p>
        </w:tc>
      </w:tr>
      <w:tr w:rsidR="003A1DC2" w:rsidRPr="00116D0B" w14:paraId="1C7ADB19" w14:textId="77777777" w:rsidTr="003A1DC2">
        <w:trPr>
          <w:trHeight w:val="46"/>
        </w:trPr>
        <w:tc>
          <w:tcPr>
            <w:tcW w:w="5125" w:type="dxa"/>
            <w:hideMark/>
          </w:tcPr>
          <w:p w14:paraId="1197C7C3" w14:textId="77777777"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Total</w:t>
            </w:r>
          </w:p>
        </w:tc>
        <w:tc>
          <w:tcPr>
            <w:tcW w:w="1350" w:type="dxa"/>
            <w:hideMark/>
          </w:tcPr>
          <w:p w14:paraId="06D73585" w14:textId="77777777"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92.5%</w:t>
            </w:r>
          </w:p>
        </w:tc>
        <w:tc>
          <w:tcPr>
            <w:tcW w:w="1350" w:type="dxa"/>
            <w:hideMark/>
          </w:tcPr>
          <w:p w14:paraId="092CF335" w14:textId="77777777" w:rsidR="003A1DC2" w:rsidRPr="00116D0B" w:rsidRDefault="003A1DC2" w:rsidP="003A1DC2">
            <w:pPr>
              <w:spacing w:line="276" w:lineRule="auto"/>
              <w:jc w:val="both"/>
              <w:rPr>
                <w:rFonts w:ascii="Garamond" w:eastAsia="Calibri" w:hAnsi="Garamond" w:cs="Calibri"/>
                <w:b/>
                <w:sz w:val="24"/>
                <w:szCs w:val="24"/>
              </w:rPr>
            </w:pPr>
            <w:r w:rsidRPr="00116D0B">
              <w:rPr>
                <w:rFonts w:ascii="Garamond" w:eastAsia="Calibri" w:hAnsi="Garamond" w:cs="Calibri"/>
                <w:b/>
                <w:sz w:val="24"/>
                <w:szCs w:val="24"/>
              </w:rPr>
              <w:t>7.5%</w:t>
            </w:r>
          </w:p>
        </w:tc>
      </w:tr>
      <w:bookmarkEnd w:id="59"/>
    </w:tbl>
    <w:p w14:paraId="018D1BE1" w14:textId="4B195D15" w:rsidR="003A1DC2" w:rsidRPr="00116D0B" w:rsidRDefault="003A1DC2" w:rsidP="003A1DC2">
      <w:pPr>
        <w:rPr>
          <w:rFonts w:ascii="Garamond" w:eastAsia="Calibri" w:hAnsi="Garamond" w:cs="Calibri"/>
          <w:sz w:val="24"/>
          <w:szCs w:val="24"/>
        </w:rPr>
      </w:pPr>
    </w:p>
    <w:p w14:paraId="308B9B53" w14:textId="77777777" w:rsidR="003A1DC2" w:rsidRPr="00116D0B" w:rsidRDefault="003A1DC2" w:rsidP="003A1DC2">
      <w:pPr>
        <w:rPr>
          <w:rFonts w:ascii="Garamond" w:eastAsia="Calibri" w:hAnsi="Garamond" w:cs="Calibri"/>
          <w:sz w:val="24"/>
          <w:szCs w:val="24"/>
        </w:rPr>
      </w:pPr>
    </w:p>
    <w:p w14:paraId="0389F065" w14:textId="77777777" w:rsidR="003A1DC2" w:rsidRPr="00116D0B" w:rsidRDefault="003A1DC2" w:rsidP="003A1DC2">
      <w:pPr>
        <w:rPr>
          <w:rFonts w:ascii="Garamond" w:eastAsia="Calibri" w:hAnsi="Garamond" w:cs="Calibri"/>
          <w:sz w:val="24"/>
          <w:szCs w:val="24"/>
        </w:rPr>
      </w:pPr>
    </w:p>
    <w:p w14:paraId="44ADA311" w14:textId="77777777" w:rsidR="003A1DC2" w:rsidRPr="00116D0B" w:rsidRDefault="003A1DC2" w:rsidP="003A1DC2">
      <w:pPr>
        <w:rPr>
          <w:rFonts w:ascii="Garamond" w:eastAsia="Calibri" w:hAnsi="Garamond" w:cs="Calibri"/>
          <w:sz w:val="24"/>
          <w:szCs w:val="24"/>
        </w:rPr>
      </w:pPr>
    </w:p>
    <w:p w14:paraId="747268BE" w14:textId="77777777" w:rsidR="003A1DC2" w:rsidRPr="00116D0B" w:rsidRDefault="003A1DC2" w:rsidP="003A1DC2">
      <w:pPr>
        <w:rPr>
          <w:rFonts w:ascii="Garamond" w:eastAsia="Calibri" w:hAnsi="Garamond" w:cs="Calibri"/>
          <w:sz w:val="24"/>
          <w:szCs w:val="24"/>
        </w:rPr>
      </w:pPr>
    </w:p>
    <w:p w14:paraId="1B0BFE99" w14:textId="77777777" w:rsidR="003A1DC2" w:rsidRPr="00116D0B" w:rsidRDefault="003A1DC2" w:rsidP="003A1DC2">
      <w:pPr>
        <w:rPr>
          <w:rFonts w:ascii="Garamond" w:eastAsia="Calibri" w:hAnsi="Garamond" w:cs="Calibri"/>
          <w:sz w:val="24"/>
          <w:szCs w:val="24"/>
        </w:rPr>
      </w:pPr>
    </w:p>
    <w:p w14:paraId="5E12AB5D" w14:textId="77777777" w:rsidR="003A1DC2" w:rsidRPr="00116D0B" w:rsidRDefault="003A1DC2" w:rsidP="003A1DC2">
      <w:pPr>
        <w:rPr>
          <w:rFonts w:ascii="Garamond" w:eastAsia="Calibri" w:hAnsi="Garamond" w:cs="Calibri"/>
          <w:sz w:val="24"/>
          <w:szCs w:val="24"/>
        </w:rPr>
      </w:pPr>
    </w:p>
    <w:p w14:paraId="2A6E9356" w14:textId="77777777" w:rsidR="003A1DC2" w:rsidRPr="00116D0B" w:rsidRDefault="003A1DC2" w:rsidP="003A1DC2">
      <w:pPr>
        <w:rPr>
          <w:rFonts w:ascii="Garamond" w:eastAsia="Calibri" w:hAnsi="Garamond" w:cs="Calibri"/>
          <w:sz w:val="24"/>
          <w:szCs w:val="24"/>
        </w:rPr>
      </w:pPr>
    </w:p>
    <w:p w14:paraId="65F5699E" w14:textId="77777777" w:rsidR="003A1DC2" w:rsidRPr="00116D0B" w:rsidRDefault="003A1DC2" w:rsidP="003A1DC2">
      <w:pPr>
        <w:rPr>
          <w:rFonts w:ascii="Garamond" w:eastAsia="Calibri" w:hAnsi="Garamond" w:cs="Calibri"/>
          <w:sz w:val="24"/>
          <w:szCs w:val="24"/>
        </w:rPr>
      </w:pPr>
    </w:p>
    <w:p w14:paraId="7A034A84" w14:textId="77777777" w:rsidR="003A1DC2" w:rsidRPr="00116D0B" w:rsidRDefault="003A1DC2" w:rsidP="003A1DC2">
      <w:pPr>
        <w:rPr>
          <w:rFonts w:ascii="Garamond" w:eastAsia="Calibri" w:hAnsi="Garamond" w:cs="Calibri"/>
          <w:sz w:val="24"/>
          <w:szCs w:val="24"/>
        </w:rPr>
      </w:pPr>
    </w:p>
    <w:p w14:paraId="400B7E82" w14:textId="77777777" w:rsidR="003A1DC2" w:rsidRPr="00116D0B" w:rsidRDefault="003A1DC2" w:rsidP="003A1DC2">
      <w:pPr>
        <w:rPr>
          <w:rFonts w:ascii="Garamond" w:eastAsia="Calibri" w:hAnsi="Garamond" w:cs="Calibri"/>
          <w:sz w:val="24"/>
          <w:szCs w:val="24"/>
        </w:rPr>
      </w:pPr>
    </w:p>
    <w:p w14:paraId="2714DB80" w14:textId="38D88B9B" w:rsidR="003A1DC2" w:rsidRPr="00116D0B" w:rsidRDefault="003A1DC2" w:rsidP="003A1DC2">
      <w:pPr>
        <w:rPr>
          <w:rFonts w:ascii="Garamond" w:eastAsia="Calibri" w:hAnsi="Garamond" w:cs="Calibri"/>
          <w:sz w:val="24"/>
          <w:szCs w:val="24"/>
        </w:rPr>
      </w:pPr>
    </w:p>
    <w:p w14:paraId="180CD154" w14:textId="373AD052" w:rsidR="003A1DC2" w:rsidRPr="00116D0B" w:rsidRDefault="003A1DC2" w:rsidP="003A1DC2">
      <w:pPr>
        <w:widowControl/>
        <w:autoSpaceDE/>
        <w:autoSpaceDN/>
        <w:spacing w:after="160" w:line="259" w:lineRule="auto"/>
        <w:jc w:val="both"/>
        <w:rPr>
          <w:rFonts w:ascii="Garamond" w:eastAsia="Calibri" w:hAnsi="Garamond" w:cs="Calibri"/>
          <w:sz w:val="24"/>
          <w:szCs w:val="24"/>
          <w:lang w:val="en-GB"/>
        </w:rPr>
      </w:pPr>
      <w:r w:rsidRPr="00116D0B">
        <w:rPr>
          <w:rFonts w:ascii="Garamond" w:eastAsia="Calibri" w:hAnsi="Garamond" w:cs="Calibri"/>
          <w:sz w:val="24"/>
          <w:szCs w:val="24"/>
          <w:lang w:val="en-GB"/>
        </w:rPr>
        <w:t>Regarding the spoken language of respondents, findings from the endline survey revealed that Higgi and Hausa were the most common languages spoken by respondents accounting for 39.9% and 38.6% respectively. English is spoken by 12.1% of the respondents, while Fulani, Margi, and other languages are less commonly spoken, each representing 4.6%, 3.3%, and 1.4% respectively. See table 12 for more details</w:t>
      </w:r>
    </w:p>
    <w:p w14:paraId="619087F4" w14:textId="02C9A9BA" w:rsidR="003A1DC2" w:rsidRPr="00116D0B" w:rsidRDefault="003A1DC2" w:rsidP="00C27173">
      <w:pPr>
        <w:pStyle w:val="Caption"/>
      </w:pPr>
      <w:bookmarkStart w:id="68" w:name="_Toc166704035"/>
      <w:r w:rsidRPr="00116D0B">
        <w:t xml:space="preserve">Table </w:t>
      </w:r>
      <w:fldSimple w:instr=" SEQ Table \* ARABIC ">
        <w:r w:rsidR="00116D0B" w:rsidRPr="00116D0B">
          <w:rPr>
            <w:noProof/>
          </w:rPr>
          <w:t>12</w:t>
        </w:r>
      </w:fldSimple>
      <w:r w:rsidRPr="00116D0B">
        <w:t>: Language spoken by respondents</w:t>
      </w:r>
      <w:bookmarkEnd w:id="68"/>
    </w:p>
    <w:tbl>
      <w:tblPr>
        <w:tblStyle w:val="TableGrid"/>
        <w:tblW w:w="8777" w:type="dxa"/>
        <w:tblLook w:val="04A0" w:firstRow="1" w:lastRow="0" w:firstColumn="1" w:lastColumn="0" w:noHBand="0" w:noVBand="1"/>
      </w:tblPr>
      <w:tblGrid>
        <w:gridCol w:w="2579"/>
        <w:gridCol w:w="1033"/>
        <w:gridCol w:w="1033"/>
        <w:gridCol w:w="1033"/>
        <w:gridCol w:w="1033"/>
        <w:gridCol w:w="1033"/>
        <w:gridCol w:w="1033"/>
      </w:tblGrid>
      <w:tr w:rsidR="003A1DC2" w:rsidRPr="00116D0B" w14:paraId="6281BB0D" w14:textId="77777777" w:rsidTr="003A1DC2">
        <w:trPr>
          <w:trHeight w:val="39"/>
        </w:trPr>
        <w:tc>
          <w:tcPr>
            <w:tcW w:w="2579" w:type="dxa"/>
            <w:shd w:val="clear" w:color="auto" w:fill="449E46"/>
            <w:hideMark/>
          </w:tcPr>
          <w:p w14:paraId="1702C5DB"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Language spoken</w:t>
            </w:r>
          </w:p>
        </w:tc>
        <w:tc>
          <w:tcPr>
            <w:tcW w:w="1033" w:type="dxa"/>
            <w:shd w:val="clear" w:color="auto" w:fill="449E46"/>
            <w:hideMark/>
          </w:tcPr>
          <w:p w14:paraId="606D331B"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Higgi</w:t>
            </w:r>
          </w:p>
        </w:tc>
        <w:tc>
          <w:tcPr>
            <w:tcW w:w="1033" w:type="dxa"/>
            <w:shd w:val="clear" w:color="auto" w:fill="449E46"/>
            <w:hideMark/>
          </w:tcPr>
          <w:p w14:paraId="584E76C3"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Hausa</w:t>
            </w:r>
          </w:p>
        </w:tc>
        <w:tc>
          <w:tcPr>
            <w:tcW w:w="1033" w:type="dxa"/>
            <w:shd w:val="clear" w:color="auto" w:fill="449E46"/>
            <w:hideMark/>
          </w:tcPr>
          <w:p w14:paraId="552EFC84"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English</w:t>
            </w:r>
          </w:p>
        </w:tc>
        <w:tc>
          <w:tcPr>
            <w:tcW w:w="1033" w:type="dxa"/>
            <w:shd w:val="clear" w:color="auto" w:fill="449E46"/>
            <w:hideMark/>
          </w:tcPr>
          <w:p w14:paraId="069A4074"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Fulani</w:t>
            </w:r>
          </w:p>
        </w:tc>
        <w:tc>
          <w:tcPr>
            <w:tcW w:w="1033" w:type="dxa"/>
            <w:shd w:val="clear" w:color="auto" w:fill="449E46"/>
            <w:hideMark/>
          </w:tcPr>
          <w:p w14:paraId="66A75637"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Margi</w:t>
            </w:r>
          </w:p>
        </w:tc>
        <w:tc>
          <w:tcPr>
            <w:tcW w:w="1033" w:type="dxa"/>
            <w:shd w:val="clear" w:color="auto" w:fill="449E46"/>
            <w:hideMark/>
          </w:tcPr>
          <w:p w14:paraId="3CA35F09"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Other</w:t>
            </w:r>
          </w:p>
        </w:tc>
      </w:tr>
      <w:tr w:rsidR="003A1DC2" w:rsidRPr="00116D0B" w14:paraId="4EF52AB1" w14:textId="77777777" w:rsidTr="00F51140">
        <w:trPr>
          <w:trHeight w:val="39"/>
        </w:trPr>
        <w:tc>
          <w:tcPr>
            <w:tcW w:w="2579" w:type="dxa"/>
            <w:hideMark/>
          </w:tcPr>
          <w:p w14:paraId="25F1D94F"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Garta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Ghunchi</w:t>
            </w:r>
            <w:proofErr w:type="spellEnd"/>
          </w:p>
        </w:tc>
        <w:tc>
          <w:tcPr>
            <w:tcW w:w="1033" w:type="dxa"/>
            <w:hideMark/>
          </w:tcPr>
          <w:p w14:paraId="4A2A81A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38.4%</w:t>
            </w:r>
          </w:p>
        </w:tc>
        <w:tc>
          <w:tcPr>
            <w:tcW w:w="1033" w:type="dxa"/>
            <w:hideMark/>
          </w:tcPr>
          <w:p w14:paraId="5BBC578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36.6%</w:t>
            </w:r>
          </w:p>
        </w:tc>
        <w:tc>
          <w:tcPr>
            <w:tcW w:w="1033" w:type="dxa"/>
            <w:hideMark/>
          </w:tcPr>
          <w:p w14:paraId="6376C5E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15.2%</w:t>
            </w:r>
          </w:p>
        </w:tc>
        <w:tc>
          <w:tcPr>
            <w:tcW w:w="1033" w:type="dxa"/>
            <w:hideMark/>
          </w:tcPr>
          <w:p w14:paraId="5E935CC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6.3%</w:t>
            </w:r>
          </w:p>
        </w:tc>
        <w:tc>
          <w:tcPr>
            <w:tcW w:w="1033" w:type="dxa"/>
            <w:hideMark/>
          </w:tcPr>
          <w:p w14:paraId="565A1B2C"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3.6%</w:t>
            </w:r>
          </w:p>
        </w:tc>
        <w:tc>
          <w:tcPr>
            <w:tcW w:w="1033" w:type="dxa"/>
            <w:hideMark/>
          </w:tcPr>
          <w:p w14:paraId="59D156A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703F023F" w14:textId="77777777" w:rsidTr="00F51140">
        <w:trPr>
          <w:trHeight w:val="39"/>
        </w:trPr>
        <w:tc>
          <w:tcPr>
            <w:tcW w:w="2579" w:type="dxa"/>
            <w:hideMark/>
          </w:tcPr>
          <w:p w14:paraId="2E7397BA"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Madzi</w:t>
            </w:r>
          </w:p>
        </w:tc>
        <w:tc>
          <w:tcPr>
            <w:tcW w:w="1033" w:type="dxa"/>
            <w:hideMark/>
          </w:tcPr>
          <w:p w14:paraId="239082BA"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38.3%</w:t>
            </w:r>
          </w:p>
        </w:tc>
        <w:tc>
          <w:tcPr>
            <w:tcW w:w="1033" w:type="dxa"/>
            <w:hideMark/>
          </w:tcPr>
          <w:p w14:paraId="79F3F05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37.4%</w:t>
            </w:r>
          </w:p>
        </w:tc>
        <w:tc>
          <w:tcPr>
            <w:tcW w:w="1033" w:type="dxa"/>
            <w:hideMark/>
          </w:tcPr>
          <w:p w14:paraId="1E57FA1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17.8%</w:t>
            </w:r>
          </w:p>
        </w:tc>
        <w:tc>
          <w:tcPr>
            <w:tcW w:w="1033" w:type="dxa"/>
            <w:hideMark/>
          </w:tcPr>
          <w:p w14:paraId="302339E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4.7%</w:t>
            </w:r>
          </w:p>
        </w:tc>
        <w:tc>
          <w:tcPr>
            <w:tcW w:w="1033" w:type="dxa"/>
            <w:hideMark/>
          </w:tcPr>
          <w:p w14:paraId="52700C3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1.9%</w:t>
            </w:r>
          </w:p>
        </w:tc>
        <w:tc>
          <w:tcPr>
            <w:tcW w:w="1033" w:type="dxa"/>
            <w:hideMark/>
          </w:tcPr>
          <w:p w14:paraId="2F91322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01F075B2" w14:textId="77777777" w:rsidTr="00F51140">
        <w:trPr>
          <w:trHeight w:val="39"/>
        </w:trPr>
        <w:tc>
          <w:tcPr>
            <w:tcW w:w="2579" w:type="dxa"/>
            <w:hideMark/>
          </w:tcPr>
          <w:p w14:paraId="3C462E8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Michika II</w:t>
            </w:r>
          </w:p>
        </w:tc>
        <w:tc>
          <w:tcPr>
            <w:tcW w:w="1033" w:type="dxa"/>
            <w:hideMark/>
          </w:tcPr>
          <w:p w14:paraId="6B741D2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37.2%</w:t>
            </w:r>
          </w:p>
        </w:tc>
        <w:tc>
          <w:tcPr>
            <w:tcW w:w="1033" w:type="dxa"/>
            <w:hideMark/>
          </w:tcPr>
          <w:p w14:paraId="608F43C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33.6%</w:t>
            </w:r>
          </w:p>
        </w:tc>
        <w:tc>
          <w:tcPr>
            <w:tcW w:w="1033" w:type="dxa"/>
            <w:hideMark/>
          </w:tcPr>
          <w:p w14:paraId="7327DE4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17.5%</w:t>
            </w:r>
          </w:p>
        </w:tc>
        <w:tc>
          <w:tcPr>
            <w:tcW w:w="1033" w:type="dxa"/>
            <w:hideMark/>
          </w:tcPr>
          <w:p w14:paraId="5B86C0A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7.3%</w:t>
            </w:r>
          </w:p>
        </w:tc>
        <w:tc>
          <w:tcPr>
            <w:tcW w:w="1033" w:type="dxa"/>
            <w:hideMark/>
          </w:tcPr>
          <w:p w14:paraId="5B999A8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3.6%</w:t>
            </w:r>
          </w:p>
        </w:tc>
        <w:tc>
          <w:tcPr>
            <w:tcW w:w="1033" w:type="dxa"/>
            <w:hideMark/>
          </w:tcPr>
          <w:p w14:paraId="2EC9773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0.7%</w:t>
            </w:r>
          </w:p>
        </w:tc>
      </w:tr>
      <w:tr w:rsidR="003A1DC2" w:rsidRPr="00116D0B" w14:paraId="63CB2495" w14:textId="77777777" w:rsidTr="00F51140">
        <w:trPr>
          <w:trHeight w:val="39"/>
        </w:trPr>
        <w:tc>
          <w:tcPr>
            <w:tcW w:w="2579" w:type="dxa"/>
            <w:hideMark/>
          </w:tcPr>
          <w:p w14:paraId="00DFDDEC"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Minkisi</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Wuro</w:t>
            </w:r>
            <w:proofErr w:type="spellEnd"/>
            <w:r w:rsidRPr="00116D0B">
              <w:rPr>
                <w:rFonts w:ascii="Garamond" w:eastAsia="Calibri" w:hAnsi="Garamond" w:cs="Calibri"/>
                <w:sz w:val="24"/>
                <w:szCs w:val="24"/>
              </w:rPr>
              <w:t xml:space="preserve"> </w:t>
            </w:r>
            <w:proofErr w:type="spellStart"/>
            <w:r w:rsidRPr="00116D0B">
              <w:rPr>
                <w:rFonts w:ascii="Garamond" w:eastAsia="Calibri" w:hAnsi="Garamond" w:cs="Calibri"/>
                <w:sz w:val="24"/>
                <w:szCs w:val="24"/>
              </w:rPr>
              <w:t>Ngik</w:t>
            </w:r>
            <w:proofErr w:type="spellEnd"/>
          </w:p>
        </w:tc>
        <w:tc>
          <w:tcPr>
            <w:tcW w:w="1033" w:type="dxa"/>
            <w:hideMark/>
          </w:tcPr>
          <w:p w14:paraId="2751595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43.5%</w:t>
            </w:r>
          </w:p>
        </w:tc>
        <w:tc>
          <w:tcPr>
            <w:tcW w:w="1033" w:type="dxa"/>
            <w:hideMark/>
          </w:tcPr>
          <w:p w14:paraId="76DC33D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44.6%</w:t>
            </w:r>
          </w:p>
        </w:tc>
        <w:tc>
          <w:tcPr>
            <w:tcW w:w="1033" w:type="dxa"/>
            <w:hideMark/>
          </w:tcPr>
          <w:p w14:paraId="78BD875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5.4%</w:t>
            </w:r>
          </w:p>
        </w:tc>
        <w:tc>
          <w:tcPr>
            <w:tcW w:w="1033" w:type="dxa"/>
            <w:hideMark/>
          </w:tcPr>
          <w:p w14:paraId="19FF3C0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4.3%</w:t>
            </w:r>
          </w:p>
        </w:tc>
        <w:tc>
          <w:tcPr>
            <w:tcW w:w="1033" w:type="dxa"/>
            <w:hideMark/>
          </w:tcPr>
          <w:p w14:paraId="6FAE9D6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2.2%</w:t>
            </w:r>
          </w:p>
        </w:tc>
        <w:tc>
          <w:tcPr>
            <w:tcW w:w="1033" w:type="dxa"/>
            <w:hideMark/>
          </w:tcPr>
          <w:p w14:paraId="18D94F7D"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3A403331" w14:textId="77777777" w:rsidTr="00F51140">
        <w:trPr>
          <w:trHeight w:val="39"/>
        </w:trPr>
        <w:tc>
          <w:tcPr>
            <w:tcW w:w="2579" w:type="dxa"/>
            <w:hideMark/>
          </w:tcPr>
          <w:p w14:paraId="03474E7C"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Munkavicita</w:t>
            </w:r>
            <w:proofErr w:type="spellEnd"/>
          </w:p>
        </w:tc>
        <w:tc>
          <w:tcPr>
            <w:tcW w:w="1033" w:type="dxa"/>
            <w:hideMark/>
          </w:tcPr>
          <w:p w14:paraId="619AA32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45.4%</w:t>
            </w:r>
          </w:p>
        </w:tc>
        <w:tc>
          <w:tcPr>
            <w:tcW w:w="1033" w:type="dxa"/>
            <w:hideMark/>
          </w:tcPr>
          <w:p w14:paraId="0472845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45.4%</w:t>
            </w:r>
          </w:p>
        </w:tc>
        <w:tc>
          <w:tcPr>
            <w:tcW w:w="1033" w:type="dxa"/>
            <w:hideMark/>
          </w:tcPr>
          <w:p w14:paraId="384BAE4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8.2%</w:t>
            </w:r>
          </w:p>
        </w:tc>
        <w:tc>
          <w:tcPr>
            <w:tcW w:w="1033" w:type="dxa"/>
            <w:hideMark/>
          </w:tcPr>
          <w:p w14:paraId="4A6AE91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1033" w:type="dxa"/>
            <w:hideMark/>
          </w:tcPr>
          <w:p w14:paraId="027CC96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1.0%</w:t>
            </w:r>
          </w:p>
        </w:tc>
        <w:tc>
          <w:tcPr>
            <w:tcW w:w="1033" w:type="dxa"/>
            <w:hideMark/>
          </w:tcPr>
          <w:p w14:paraId="0847818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3B45B1CE" w14:textId="77777777" w:rsidTr="00F51140">
        <w:trPr>
          <w:trHeight w:val="39"/>
        </w:trPr>
        <w:tc>
          <w:tcPr>
            <w:tcW w:w="2579" w:type="dxa"/>
            <w:hideMark/>
          </w:tcPr>
          <w:p w14:paraId="4BF8BCE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Sina/Kamale/</w:t>
            </w:r>
            <w:proofErr w:type="spellStart"/>
            <w:r w:rsidRPr="00116D0B">
              <w:rPr>
                <w:rFonts w:ascii="Garamond" w:eastAsia="Calibri" w:hAnsi="Garamond" w:cs="Calibri"/>
                <w:sz w:val="24"/>
                <w:szCs w:val="24"/>
              </w:rPr>
              <w:t>Kwande</w:t>
            </w:r>
            <w:proofErr w:type="spellEnd"/>
          </w:p>
        </w:tc>
        <w:tc>
          <w:tcPr>
            <w:tcW w:w="1033" w:type="dxa"/>
            <w:hideMark/>
          </w:tcPr>
          <w:p w14:paraId="2073B9D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35.9%</w:t>
            </w:r>
          </w:p>
        </w:tc>
        <w:tc>
          <w:tcPr>
            <w:tcW w:w="1033" w:type="dxa"/>
            <w:hideMark/>
          </w:tcPr>
          <w:p w14:paraId="12AE4C3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35.9%</w:t>
            </w:r>
          </w:p>
        </w:tc>
        <w:tc>
          <w:tcPr>
            <w:tcW w:w="1033" w:type="dxa"/>
            <w:hideMark/>
          </w:tcPr>
          <w:p w14:paraId="43AEE0A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6.8%</w:t>
            </w:r>
          </w:p>
        </w:tc>
        <w:tc>
          <w:tcPr>
            <w:tcW w:w="1033" w:type="dxa"/>
            <w:hideMark/>
          </w:tcPr>
          <w:p w14:paraId="26EC43A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10.7%</w:t>
            </w:r>
          </w:p>
        </w:tc>
        <w:tc>
          <w:tcPr>
            <w:tcW w:w="1033" w:type="dxa"/>
            <w:hideMark/>
          </w:tcPr>
          <w:p w14:paraId="50EB215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5.8%</w:t>
            </w:r>
          </w:p>
        </w:tc>
        <w:tc>
          <w:tcPr>
            <w:tcW w:w="1033" w:type="dxa"/>
            <w:hideMark/>
          </w:tcPr>
          <w:p w14:paraId="676C27F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4.9%</w:t>
            </w:r>
          </w:p>
        </w:tc>
      </w:tr>
      <w:tr w:rsidR="003A1DC2" w:rsidRPr="00116D0B" w14:paraId="7AA778F2" w14:textId="77777777" w:rsidTr="00F51140">
        <w:trPr>
          <w:trHeight w:val="39"/>
        </w:trPr>
        <w:tc>
          <w:tcPr>
            <w:tcW w:w="2579" w:type="dxa"/>
            <w:hideMark/>
          </w:tcPr>
          <w:p w14:paraId="7BC2F078"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Tumbara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Ngabili</w:t>
            </w:r>
            <w:proofErr w:type="spellEnd"/>
          </w:p>
        </w:tc>
        <w:tc>
          <w:tcPr>
            <w:tcW w:w="1033" w:type="dxa"/>
            <w:hideMark/>
          </w:tcPr>
          <w:p w14:paraId="0090141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42.7%</w:t>
            </w:r>
          </w:p>
        </w:tc>
        <w:tc>
          <w:tcPr>
            <w:tcW w:w="1033" w:type="dxa"/>
            <w:hideMark/>
          </w:tcPr>
          <w:p w14:paraId="3260ABB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39.3%</w:t>
            </w:r>
          </w:p>
        </w:tc>
        <w:tc>
          <w:tcPr>
            <w:tcW w:w="1033" w:type="dxa"/>
            <w:hideMark/>
          </w:tcPr>
          <w:p w14:paraId="41A8B678"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8.5%</w:t>
            </w:r>
          </w:p>
        </w:tc>
        <w:tc>
          <w:tcPr>
            <w:tcW w:w="1033" w:type="dxa"/>
            <w:hideMark/>
          </w:tcPr>
          <w:p w14:paraId="006CEBE8"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3.0%</w:t>
            </w:r>
          </w:p>
        </w:tc>
        <w:tc>
          <w:tcPr>
            <w:tcW w:w="1033" w:type="dxa"/>
            <w:hideMark/>
          </w:tcPr>
          <w:p w14:paraId="6DA2D80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4.3%</w:t>
            </w:r>
          </w:p>
        </w:tc>
        <w:tc>
          <w:tcPr>
            <w:tcW w:w="1033" w:type="dxa"/>
            <w:hideMark/>
          </w:tcPr>
          <w:p w14:paraId="1B467FF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2.1%</w:t>
            </w:r>
          </w:p>
        </w:tc>
      </w:tr>
      <w:tr w:rsidR="003A1DC2" w:rsidRPr="00116D0B" w14:paraId="756BE260" w14:textId="77777777" w:rsidTr="00F51140">
        <w:trPr>
          <w:trHeight w:val="39"/>
        </w:trPr>
        <w:tc>
          <w:tcPr>
            <w:tcW w:w="2579" w:type="dxa"/>
            <w:hideMark/>
          </w:tcPr>
          <w:p w14:paraId="05D7DCCB"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Wamblimi</w:t>
            </w:r>
            <w:proofErr w:type="spellEnd"/>
            <w:r w:rsidRPr="00116D0B">
              <w:rPr>
                <w:rFonts w:ascii="Garamond" w:eastAsia="Calibri" w:hAnsi="Garamond" w:cs="Calibri"/>
                <w:sz w:val="24"/>
                <w:szCs w:val="24"/>
              </w:rPr>
              <w:t>/Tilli</w:t>
            </w:r>
          </w:p>
        </w:tc>
        <w:tc>
          <w:tcPr>
            <w:tcW w:w="1033" w:type="dxa"/>
            <w:hideMark/>
          </w:tcPr>
          <w:p w14:paraId="453E1B68"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36.5%</w:t>
            </w:r>
          </w:p>
        </w:tc>
        <w:tc>
          <w:tcPr>
            <w:tcW w:w="1033" w:type="dxa"/>
            <w:hideMark/>
          </w:tcPr>
          <w:p w14:paraId="7AAE3F7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38.3%</w:t>
            </w:r>
          </w:p>
        </w:tc>
        <w:tc>
          <w:tcPr>
            <w:tcW w:w="1033" w:type="dxa"/>
            <w:hideMark/>
          </w:tcPr>
          <w:p w14:paraId="09C4CA0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18.3%</w:t>
            </w:r>
          </w:p>
        </w:tc>
        <w:tc>
          <w:tcPr>
            <w:tcW w:w="1033" w:type="dxa"/>
            <w:hideMark/>
          </w:tcPr>
          <w:p w14:paraId="5D86A79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1.7%</w:t>
            </w:r>
          </w:p>
        </w:tc>
        <w:tc>
          <w:tcPr>
            <w:tcW w:w="1033" w:type="dxa"/>
            <w:hideMark/>
          </w:tcPr>
          <w:p w14:paraId="11D7FEC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2.6%</w:t>
            </w:r>
          </w:p>
        </w:tc>
        <w:tc>
          <w:tcPr>
            <w:tcW w:w="1033" w:type="dxa"/>
            <w:hideMark/>
          </w:tcPr>
          <w:p w14:paraId="2657127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2.6%</w:t>
            </w:r>
          </w:p>
        </w:tc>
      </w:tr>
      <w:tr w:rsidR="003A1DC2" w:rsidRPr="00116D0B" w14:paraId="7BBE04CF" w14:textId="77777777" w:rsidTr="00F51140">
        <w:trPr>
          <w:trHeight w:val="39"/>
        </w:trPr>
        <w:tc>
          <w:tcPr>
            <w:tcW w:w="2579" w:type="dxa"/>
            <w:hideMark/>
          </w:tcPr>
          <w:p w14:paraId="46D86ED7" w14:textId="47721C4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lastRenderedPageBreak/>
              <w:t>Total</w:t>
            </w:r>
          </w:p>
        </w:tc>
        <w:tc>
          <w:tcPr>
            <w:tcW w:w="1033" w:type="dxa"/>
            <w:hideMark/>
          </w:tcPr>
          <w:p w14:paraId="7821129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39.9%</w:t>
            </w:r>
          </w:p>
        </w:tc>
        <w:tc>
          <w:tcPr>
            <w:tcW w:w="1033" w:type="dxa"/>
            <w:hideMark/>
          </w:tcPr>
          <w:p w14:paraId="27D2CE3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38.6%</w:t>
            </w:r>
          </w:p>
        </w:tc>
        <w:tc>
          <w:tcPr>
            <w:tcW w:w="1033" w:type="dxa"/>
            <w:hideMark/>
          </w:tcPr>
          <w:p w14:paraId="5D3E305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12.1%</w:t>
            </w:r>
          </w:p>
        </w:tc>
        <w:tc>
          <w:tcPr>
            <w:tcW w:w="1033" w:type="dxa"/>
            <w:hideMark/>
          </w:tcPr>
          <w:p w14:paraId="35D1F01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4.6%</w:t>
            </w:r>
          </w:p>
        </w:tc>
        <w:tc>
          <w:tcPr>
            <w:tcW w:w="1033" w:type="dxa"/>
            <w:hideMark/>
          </w:tcPr>
          <w:p w14:paraId="51F59FAA"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3.3%</w:t>
            </w:r>
          </w:p>
        </w:tc>
        <w:tc>
          <w:tcPr>
            <w:tcW w:w="1033" w:type="dxa"/>
            <w:hideMark/>
          </w:tcPr>
          <w:p w14:paraId="56FB24C2"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1.4%</w:t>
            </w:r>
          </w:p>
        </w:tc>
      </w:tr>
    </w:tbl>
    <w:p w14:paraId="66707A0B" w14:textId="3E79A8CC"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The occupation distribution across different wards revealed a diverse range of livelihoods among the respondents. Farming emerged as the primary occupation across most wards, accounting for 69.8% of the total occupations. Trading, including petty trading, follows at 8.3%, indicating its significance in the economic landscape. Other occupations such as civil servant, teaching, and animal rearing constituted 6.3%, 6.1%, and 4.9% respectively, highlighting the diverse range of livelihoods within the community. Lastly, health worker</w:t>
      </w:r>
      <w:r w:rsidR="000F2DFD">
        <w:rPr>
          <w:rFonts w:ascii="Garamond" w:eastAsia="Calibri" w:hAnsi="Garamond" w:cs="Calibri"/>
          <w:sz w:val="24"/>
          <w:szCs w:val="24"/>
        </w:rPr>
        <w:t>s</w:t>
      </w:r>
      <w:r w:rsidRPr="00116D0B">
        <w:rPr>
          <w:rFonts w:ascii="Garamond" w:eastAsia="Calibri" w:hAnsi="Garamond" w:cs="Calibri"/>
          <w:sz w:val="24"/>
          <w:szCs w:val="24"/>
        </w:rPr>
        <w:t xml:space="preserve"> represent</w:t>
      </w:r>
      <w:r w:rsidR="000F2DFD">
        <w:rPr>
          <w:rFonts w:ascii="Garamond" w:eastAsia="Calibri" w:hAnsi="Garamond" w:cs="Calibri"/>
          <w:sz w:val="24"/>
          <w:szCs w:val="24"/>
        </w:rPr>
        <w:t>ed</w:t>
      </w:r>
      <w:r w:rsidRPr="00116D0B">
        <w:rPr>
          <w:rFonts w:ascii="Garamond" w:eastAsia="Calibri" w:hAnsi="Garamond" w:cs="Calibri"/>
          <w:sz w:val="24"/>
          <w:szCs w:val="24"/>
        </w:rPr>
        <w:t xml:space="preserve"> a small proportion (0.2%) of the respondents.</w:t>
      </w:r>
    </w:p>
    <w:p w14:paraId="6B9426EF" w14:textId="511FCBB0" w:rsidR="003A1DC2" w:rsidRPr="00116D0B" w:rsidRDefault="003A1DC2" w:rsidP="00C27173">
      <w:pPr>
        <w:pStyle w:val="Caption"/>
      </w:pPr>
      <w:bookmarkStart w:id="69" w:name="_Toc166704036"/>
      <w:r w:rsidRPr="00116D0B">
        <w:t xml:space="preserve">Table </w:t>
      </w:r>
      <w:fldSimple w:instr=" SEQ Table \* ARABIC ">
        <w:r w:rsidR="00116D0B" w:rsidRPr="00116D0B">
          <w:rPr>
            <w:noProof/>
          </w:rPr>
          <w:t>13</w:t>
        </w:r>
      </w:fldSimple>
      <w:r w:rsidRPr="00116D0B">
        <w:t>: Occupation of respondents</w:t>
      </w:r>
      <w:bookmarkEnd w:id="69"/>
    </w:p>
    <w:tbl>
      <w:tblPr>
        <w:tblStyle w:val="TableGrid"/>
        <w:tblpPr w:leftFromText="180" w:rightFromText="180" w:vertAnchor="text" w:horzAnchor="margin" w:tblpXSpec="center" w:tblpY="61"/>
        <w:tblW w:w="9025" w:type="dxa"/>
        <w:tblLook w:val="04A0" w:firstRow="1" w:lastRow="0" w:firstColumn="1" w:lastColumn="0" w:noHBand="0" w:noVBand="1"/>
      </w:tblPr>
      <w:tblGrid>
        <w:gridCol w:w="2336"/>
        <w:gridCol w:w="1094"/>
        <w:gridCol w:w="1272"/>
        <w:gridCol w:w="909"/>
        <w:gridCol w:w="944"/>
        <w:gridCol w:w="954"/>
        <w:gridCol w:w="1184"/>
        <w:gridCol w:w="921"/>
      </w:tblGrid>
      <w:tr w:rsidR="003A1DC2" w:rsidRPr="00116D0B" w14:paraId="092CD2D4" w14:textId="77777777" w:rsidTr="003A1DC2">
        <w:trPr>
          <w:trHeight w:val="1150"/>
        </w:trPr>
        <w:tc>
          <w:tcPr>
            <w:tcW w:w="0" w:type="auto"/>
            <w:shd w:val="clear" w:color="auto" w:fill="449E46"/>
            <w:hideMark/>
          </w:tcPr>
          <w:p w14:paraId="6581083A"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Occupation</w:t>
            </w:r>
          </w:p>
        </w:tc>
        <w:tc>
          <w:tcPr>
            <w:tcW w:w="0" w:type="auto"/>
            <w:shd w:val="clear" w:color="auto" w:fill="449E46"/>
            <w:hideMark/>
          </w:tcPr>
          <w:p w14:paraId="2225759C"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Farming</w:t>
            </w:r>
          </w:p>
        </w:tc>
        <w:tc>
          <w:tcPr>
            <w:tcW w:w="0" w:type="auto"/>
            <w:shd w:val="clear" w:color="auto" w:fill="449E46"/>
            <w:hideMark/>
          </w:tcPr>
          <w:p w14:paraId="121DA1AA"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Trading (including petty trading)</w:t>
            </w:r>
          </w:p>
        </w:tc>
        <w:tc>
          <w:tcPr>
            <w:tcW w:w="0" w:type="auto"/>
            <w:shd w:val="clear" w:color="auto" w:fill="449E46"/>
            <w:hideMark/>
          </w:tcPr>
          <w:p w14:paraId="15CFAEE2"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Others</w:t>
            </w:r>
          </w:p>
        </w:tc>
        <w:tc>
          <w:tcPr>
            <w:tcW w:w="0" w:type="auto"/>
            <w:shd w:val="clear" w:color="auto" w:fill="449E46"/>
            <w:hideMark/>
          </w:tcPr>
          <w:p w14:paraId="5B74C973"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Civil servant</w:t>
            </w:r>
          </w:p>
        </w:tc>
        <w:tc>
          <w:tcPr>
            <w:tcW w:w="0" w:type="auto"/>
            <w:shd w:val="clear" w:color="auto" w:fill="449E46"/>
            <w:hideMark/>
          </w:tcPr>
          <w:p w14:paraId="2A612735"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Animal rearing</w:t>
            </w:r>
          </w:p>
        </w:tc>
        <w:tc>
          <w:tcPr>
            <w:tcW w:w="0" w:type="auto"/>
            <w:shd w:val="clear" w:color="auto" w:fill="449E46"/>
            <w:hideMark/>
          </w:tcPr>
          <w:p w14:paraId="6C29DB57"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Teaching</w:t>
            </w:r>
          </w:p>
        </w:tc>
        <w:tc>
          <w:tcPr>
            <w:tcW w:w="0" w:type="auto"/>
            <w:shd w:val="clear" w:color="auto" w:fill="449E46"/>
            <w:hideMark/>
          </w:tcPr>
          <w:p w14:paraId="1CD09690" w14:textId="77777777" w:rsidR="003A1DC2" w:rsidRPr="00116D0B" w:rsidRDefault="003A1DC2" w:rsidP="003A1DC2">
            <w:pPr>
              <w:jc w:val="both"/>
              <w:rPr>
                <w:rFonts w:ascii="Garamond" w:eastAsia="Calibri" w:hAnsi="Garamond" w:cs="Calibri"/>
                <w:b/>
                <w:bCs/>
                <w:color w:val="FFFFFF"/>
                <w:sz w:val="24"/>
                <w:szCs w:val="24"/>
              </w:rPr>
            </w:pPr>
            <w:r w:rsidRPr="00116D0B">
              <w:rPr>
                <w:rFonts w:ascii="Garamond" w:eastAsia="Calibri" w:hAnsi="Garamond" w:cs="Calibri"/>
                <w:b/>
                <w:bCs/>
                <w:color w:val="FFFFFF"/>
                <w:sz w:val="24"/>
                <w:szCs w:val="24"/>
              </w:rPr>
              <w:t>Health worker</w:t>
            </w:r>
          </w:p>
        </w:tc>
      </w:tr>
      <w:tr w:rsidR="003A1DC2" w:rsidRPr="00116D0B" w14:paraId="6EFDD307" w14:textId="77777777" w:rsidTr="003A1DC2">
        <w:trPr>
          <w:trHeight w:val="269"/>
        </w:trPr>
        <w:tc>
          <w:tcPr>
            <w:tcW w:w="0" w:type="auto"/>
            <w:hideMark/>
          </w:tcPr>
          <w:p w14:paraId="17A0D18E"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Garta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Ghunchi</w:t>
            </w:r>
            <w:proofErr w:type="spellEnd"/>
          </w:p>
        </w:tc>
        <w:tc>
          <w:tcPr>
            <w:tcW w:w="0" w:type="auto"/>
            <w:hideMark/>
          </w:tcPr>
          <w:p w14:paraId="0F93F37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65.1%</w:t>
            </w:r>
          </w:p>
        </w:tc>
        <w:tc>
          <w:tcPr>
            <w:tcW w:w="0" w:type="auto"/>
            <w:hideMark/>
          </w:tcPr>
          <w:p w14:paraId="39EF6BD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310870D2"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14.0%</w:t>
            </w:r>
          </w:p>
        </w:tc>
        <w:tc>
          <w:tcPr>
            <w:tcW w:w="0" w:type="auto"/>
            <w:hideMark/>
          </w:tcPr>
          <w:p w14:paraId="2BDCE2BC"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11.6%</w:t>
            </w:r>
          </w:p>
        </w:tc>
        <w:tc>
          <w:tcPr>
            <w:tcW w:w="0" w:type="auto"/>
            <w:hideMark/>
          </w:tcPr>
          <w:p w14:paraId="53F313D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4.7%</w:t>
            </w:r>
          </w:p>
        </w:tc>
        <w:tc>
          <w:tcPr>
            <w:tcW w:w="0" w:type="auto"/>
            <w:hideMark/>
          </w:tcPr>
          <w:p w14:paraId="2F4D459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4.7%</w:t>
            </w:r>
          </w:p>
        </w:tc>
        <w:tc>
          <w:tcPr>
            <w:tcW w:w="0" w:type="auto"/>
            <w:hideMark/>
          </w:tcPr>
          <w:p w14:paraId="4273C94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360D8AA1" w14:textId="77777777" w:rsidTr="003A1DC2">
        <w:trPr>
          <w:trHeight w:val="170"/>
        </w:trPr>
        <w:tc>
          <w:tcPr>
            <w:tcW w:w="0" w:type="auto"/>
            <w:hideMark/>
          </w:tcPr>
          <w:p w14:paraId="1A95A7C2"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Madzi</w:t>
            </w:r>
          </w:p>
        </w:tc>
        <w:tc>
          <w:tcPr>
            <w:tcW w:w="0" w:type="auto"/>
            <w:hideMark/>
          </w:tcPr>
          <w:p w14:paraId="7A518CD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63.4%</w:t>
            </w:r>
          </w:p>
        </w:tc>
        <w:tc>
          <w:tcPr>
            <w:tcW w:w="0" w:type="auto"/>
            <w:hideMark/>
          </w:tcPr>
          <w:p w14:paraId="2594623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2.4%</w:t>
            </w:r>
          </w:p>
        </w:tc>
        <w:tc>
          <w:tcPr>
            <w:tcW w:w="0" w:type="auto"/>
            <w:hideMark/>
          </w:tcPr>
          <w:p w14:paraId="48883FE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17.1%</w:t>
            </w:r>
          </w:p>
        </w:tc>
        <w:tc>
          <w:tcPr>
            <w:tcW w:w="0" w:type="auto"/>
            <w:hideMark/>
          </w:tcPr>
          <w:p w14:paraId="2E095B8A"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14.6%</w:t>
            </w:r>
          </w:p>
        </w:tc>
        <w:tc>
          <w:tcPr>
            <w:tcW w:w="0" w:type="auto"/>
            <w:hideMark/>
          </w:tcPr>
          <w:p w14:paraId="38097AF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5EBE907F"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2.4%</w:t>
            </w:r>
          </w:p>
        </w:tc>
        <w:tc>
          <w:tcPr>
            <w:tcW w:w="0" w:type="auto"/>
            <w:hideMark/>
          </w:tcPr>
          <w:p w14:paraId="4FBA384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19FD12A3" w14:textId="77777777" w:rsidTr="003A1DC2">
        <w:trPr>
          <w:trHeight w:val="46"/>
        </w:trPr>
        <w:tc>
          <w:tcPr>
            <w:tcW w:w="0" w:type="auto"/>
            <w:hideMark/>
          </w:tcPr>
          <w:p w14:paraId="408C1AF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Michika II</w:t>
            </w:r>
          </w:p>
        </w:tc>
        <w:tc>
          <w:tcPr>
            <w:tcW w:w="0" w:type="auto"/>
            <w:hideMark/>
          </w:tcPr>
          <w:p w14:paraId="59F3D68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50.9%</w:t>
            </w:r>
          </w:p>
        </w:tc>
        <w:tc>
          <w:tcPr>
            <w:tcW w:w="0" w:type="auto"/>
            <w:hideMark/>
          </w:tcPr>
          <w:p w14:paraId="7A795CC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17.0%</w:t>
            </w:r>
          </w:p>
        </w:tc>
        <w:tc>
          <w:tcPr>
            <w:tcW w:w="0" w:type="auto"/>
            <w:hideMark/>
          </w:tcPr>
          <w:p w14:paraId="1CE9C598"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5.7%</w:t>
            </w:r>
          </w:p>
        </w:tc>
        <w:tc>
          <w:tcPr>
            <w:tcW w:w="0" w:type="auto"/>
            <w:hideMark/>
          </w:tcPr>
          <w:p w14:paraId="4F4E16C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13.2%</w:t>
            </w:r>
          </w:p>
        </w:tc>
        <w:tc>
          <w:tcPr>
            <w:tcW w:w="0" w:type="auto"/>
            <w:hideMark/>
          </w:tcPr>
          <w:p w14:paraId="01CCEA3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1.9%</w:t>
            </w:r>
          </w:p>
        </w:tc>
        <w:tc>
          <w:tcPr>
            <w:tcW w:w="0" w:type="auto"/>
            <w:hideMark/>
          </w:tcPr>
          <w:p w14:paraId="2D415D7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11.3%</w:t>
            </w:r>
          </w:p>
        </w:tc>
        <w:tc>
          <w:tcPr>
            <w:tcW w:w="0" w:type="auto"/>
            <w:hideMark/>
          </w:tcPr>
          <w:p w14:paraId="3FAAE41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79160AE8" w14:textId="77777777" w:rsidTr="003A1DC2">
        <w:trPr>
          <w:trHeight w:val="46"/>
        </w:trPr>
        <w:tc>
          <w:tcPr>
            <w:tcW w:w="0" w:type="auto"/>
            <w:hideMark/>
          </w:tcPr>
          <w:p w14:paraId="1CC0A73F"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Minkisi</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Wuro</w:t>
            </w:r>
            <w:proofErr w:type="spellEnd"/>
            <w:r w:rsidRPr="00116D0B">
              <w:rPr>
                <w:rFonts w:ascii="Garamond" w:eastAsia="Calibri" w:hAnsi="Garamond" w:cs="Calibri"/>
                <w:sz w:val="24"/>
                <w:szCs w:val="24"/>
              </w:rPr>
              <w:t xml:space="preserve"> </w:t>
            </w:r>
            <w:proofErr w:type="spellStart"/>
            <w:r w:rsidRPr="00116D0B">
              <w:rPr>
                <w:rFonts w:ascii="Garamond" w:eastAsia="Calibri" w:hAnsi="Garamond" w:cs="Calibri"/>
                <w:sz w:val="24"/>
                <w:szCs w:val="24"/>
              </w:rPr>
              <w:t>Ngik</w:t>
            </w:r>
            <w:proofErr w:type="spellEnd"/>
          </w:p>
        </w:tc>
        <w:tc>
          <w:tcPr>
            <w:tcW w:w="0" w:type="auto"/>
            <w:hideMark/>
          </w:tcPr>
          <w:p w14:paraId="25DCDFEC"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69.8%</w:t>
            </w:r>
          </w:p>
        </w:tc>
        <w:tc>
          <w:tcPr>
            <w:tcW w:w="0" w:type="auto"/>
            <w:hideMark/>
          </w:tcPr>
          <w:p w14:paraId="258737E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9.3%</w:t>
            </w:r>
          </w:p>
        </w:tc>
        <w:tc>
          <w:tcPr>
            <w:tcW w:w="0" w:type="auto"/>
            <w:hideMark/>
          </w:tcPr>
          <w:p w14:paraId="4F776FB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2.3%</w:t>
            </w:r>
          </w:p>
        </w:tc>
        <w:tc>
          <w:tcPr>
            <w:tcW w:w="0" w:type="auto"/>
            <w:hideMark/>
          </w:tcPr>
          <w:p w14:paraId="34062D3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2.3%</w:t>
            </w:r>
          </w:p>
        </w:tc>
        <w:tc>
          <w:tcPr>
            <w:tcW w:w="0" w:type="auto"/>
            <w:hideMark/>
          </w:tcPr>
          <w:p w14:paraId="6C01F12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9.3%</w:t>
            </w:r>
          </w:p>
        </w:tc>
        <w:tc>
          <w:tcPr>
            <w:tcW w:w="0" w:type="auto"/>
            <w:hideMark/>
          </w:tcPr>
          <w:p w14:paraId="218DFC6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7.0%</w:t>
            </w:r>
          </w:p>
        </w:tc>
        <w:tc>
          <w:tcPr>
            <w:tcW w:w="0" w:type="auto"/>
            <w:hideMark/>
          </w:tcPr>
          <w:p w14:paraId="5F19BA89"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20E4D3FF" w14:textId="77777777" w:rsidTr="003A1DC2">
        <w:trPr>
          <w:trHeight w:val="206"/>
        </w:trPr>
        <w:tc>
          <w:tcPr>
            <w:tcW w:w="0" w:type="auto"/>
            <w:hideMark/>
          </w:tcPr>
          <w:p w14:paraId="5DAD711F"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Munkavicita</w:t>
            </w:r>
            <w:proofErr w:type="spellEnd"/>
          </w:p>
        </w:tc>
        <w:tc>
          <w:tcPr>
            <w:tcW w:w="0" w:type="auto"/>
            <w:hideMark/>
          </w:tcPr>
          <w:p w14:paraId="61D9A26D"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85.7%</w:t>
            </w:r>
          </w:p>
        </w:tc>
        <w:tc>
          <w:tcPr>
            <w:tcW w:w="0" w:type="auto"/>
            <w:hideMark/>
          </w:tcPr>
          <w:p w14:paraId="75392C9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2.4%</w:t>
            </w:r>
          </w:p>
        </w:tc>
        <w:tc>
          <w:tcPr>
            <w:tcW w:w="0" w:type="auto"/>
            <w:hideMark/>
          </w:tcPr>
          <w:p w14:paraId="2D7002B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2.4%</w:t>
            </w:r>
          </w:p>
        </w:tc>
        <w:tc>
          <w:tcPr>
            <w:tcW w:w="0" w:type="auto"/>
            <w:hideMark/>
          </w:tcPr>
          <w:p w14:paraId="3D24A49C"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41CBB9C2"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3FA20D1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9.5%</w:t>
            </w:r>
          </w:p>
        </w:tc>
        <w:tc>
          <w:tcPr>
            <w:tcW w:w="0" w:type="auto"/>
            <w:hideMark/>
          </w:tcPr>
          <w:p w14:paraId="46DCD50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16F05366" w14:textId="77777777" w:rsidTr="003A1DC2">
        <w:trPr>
          <w:trHeight w:val="134"/>
        </w:trPr>
        <w:tc>
          <w:tcPr>
            <w:tcW w:w="0" w:type="auto"/>
            <w:hideMark/>
          </w:tcPr>
          <w:p w14:paraId="05A5937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Sina/Kamale/</w:t>
            </w:r>
            <w:proofErr w:type="spellStart"/>
            <w:r w:rsidRPr="00116D0B">
              <w:rPr>
                <w:rFonts w:ascii="Garamond" w:eastAsia="Calibri" w:hAnsi="Garamond" w:cs="Calibri"/>
                <w:sz w:val="24"/>
                <w:szCs w:val="24"/>
              </w:rPr>
              <w:t>Kwande</w:t>
            </w:r>
            <w:proofErr w:type="spellEnd"/>
          </w:p>
        </w:tc>
        <w:tc>
          <w:tcPr>
            <w:tcW w:w="0" w:type="auto"/>
            <w:hideMark/>
          </w:tcPr>
          <w:p w14:paraId="3C15F33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65.1%</w:t>
            </w:r>
          </w:p>
        </w:tc>
        <w:tc>
          <w:tcPr>
            <w:tcW w:w="0" w:type="auto"/>
            <w:hideMark/>
          </w:tcPr>
          <w:p w14:paraId="311FB84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20.9%</w:t>
            </w:r>
          </w:p>
        </w:tc>
        <w:tc>
          <w:tcPr>
            <w:tcW w:w="0" w:type="auto"/>
            <w:hideMark/>
          </w:tcPr>
          <w:p w14:paraId="28EC6F7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2.3%</w:t>
            </w:r>
          </w:p>
        </w:tc>
        <w:tc>
          <w:tcPr>
            <w:tcW w:w="0" w:type="auto"/>
            <w:hideMark/>
          </w:tcPr>
          <w:p w14:paraId="117C86D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2.3%</w:t>
            </w:r>
          </w:p>
        </w:tc>
        <w:tc>
          <w:tcPr>
            <w:tcW w:w="0" w:type="auto"/>
            <w:hideMark/>
          </w:tcPr>
          <w:p w14:paraId="714CB2F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7.0%</w:t>
            </w:r>
          </w:p>
        </w:tc>
        <w:tc>
          <w:tcPr>
            <w:tcW w:w="0" w:type="auto"/>
            <w:hideMark/>
          </w:tcPr>
          <w:p w14:paraId="267A08D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32B2F86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2.3%</w:t>
            </w:r>
          </w:p>
        </w:tc>
      </w:tr>
      <w:tr w:rsidR="003A1DC2" w:rsidRPr="00116D0B" w14:paraId="51C3583A" w14:textId="77777777" w:rsidTr="003A1DC2">
        <w:trPr>
          <w:trHeight w:val="46"/>
        </w:trPr>
        <w:tc>
          <w:tcPr>
            <w:tcW w:w="0" w:type="auto"/>
            <w:hideMark/>
          </w:tcPr>
          <w:p w14:paraId="1CBC2A93"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Tumbara</w:t>
            </w:r>
            <w:proofErr w:type="spellEnd"/>
            <w:r w:rsidRPr="00116D0B">
              <w:rPr>
                <w:rFonts w:ascii="Garamond" w:eastAsia="Calibri" w:hAnsi="Garamond" w:cs="Calibri"/>
                <w:sz w:val="24"/>
                <w:szCs w:val="24"/>
              </w:rPr>
              <w:t>/</w:t>
            </w:r>
            <w:proofErr w:type="spellStart"/>
            <w:r w:rsidRPr="00116D0B">
              <w:rPr>
                <w:rFonts w:ascii="Garamond" w:eastAsia="Calibri" w:hAnsi="Garamond" w:cs="Calibri"/>
                <w:sz w:val="24"/>
                <w:szCs w:val="24"/>
              </w:rPr>
              <w:t>Ngabili</w:t>
            </w:r>
            <w:proofErr w:type="spellEnd"/>
          </w:p>
        </w:tc>
        <w:tc>
          <w:tcPr>
            <w:tcW w:w="0" w:type="auto"/>
            <w:hideMark/>
          </w:tcPr>
          <w:p w14:paraId="79BA1DEB"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76.2%</w:t>
            </w:r>
          </w:p>
        </w:tc>
        <w:tc>
          <w:tcPr>
            <w:tcW w:w="0" w:type="auto"/>
            <w:hideMark/>
          </w:tcPr>
          <w:p w14:paraId="741ABC6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9.9%</w:t>
            </w:r>
          </w:p>
        </w:tc>
        <w:tc>
          <w:tcPr>
            <w:tcW w:w="0" w:type="auto"/>
            <w:hideMark/>
          </w:tcPr>
          <w:p w14:paraId="40B9A064"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3.0%</w:t>
            </w:r>
          </w:p>
        </w:tc>
        <w:tc>
          <w:tcPr>
            <w:tcW w:w="0" w:type="auto"/>
            <w:hideMark/>
          </w:tcPr>
          <w:p w14:paraId="2C4AFD5D"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2.0%</w:t>
            </w:r>
          </w:p>
        </w:tc>
        <w:tc>
          <w:tcPr>
            <w:tcW w:w="0" w:type="auto"/>
            <w:hideMark/>
          </w:tcPr>
          <w:p w14:paraId="53E694E0"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8.9%</w:t>
            </w:r>
          </w:p>
        </w:tc>
        <w:tc>
          <w:tcPr>
            <w:tcW w:w="0" w:type="auto"/>
            <w:hideMark/>
          </w:tcPr>
          <w:p w14:paraId="4FEA492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6A04B5E7"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132E537C" w14:textId="77777777" w:rsidTr="003A1DC2">
        <w:trPr>
          <w:trHeight w:val="46"/>
        </w:trPr>
        <w:tc>
          <w:tcPr>
            <w:tcW w:w="0" w:type="auto"/>
            <w:hideMark/>
          </w:tcPr>
          <w:p w14:paraId="4E1C85D5" w14:textId="77777777" w:rsidR="003A1DC2" w:rsidRPr="00116D0B" w:rsidRDefault="003A1DC2" w:rsidP="003A1DC2">
            <w:pPr>
              <w:jc w:val="both"/>
              <w:rPr>
                <w:rFonts w:ascii="Garamond" w:eastAsia="Calibri" w:hAnsi="Garamond" w:cs="Calibri"/>
                <w:sz w:val="24"/>
                <w:szCs w:val="24"/>
              </w:rPr>
            </w:pPr>
            <w:proofErr w:type="spellStart"/>
            <w:r w:rsidRPr="00116D0B">
              <w:rPr>
                <w:rFonts w:ascii="Garamond" w:eastAsia="Calibri" w:hAnsi="Garamond" w:cs="Calibri"/>
                <w:sz w:val="24"/>
                <w:szCs w:val="24"/>
              </w:rPr>
              <w:t>Wamblimi</w:t>
            </w:r>
            <w:proofErr w:type="spellEnd"/>
            <w:r w:rsidRPr="00116D0B">
              <w:rPr>
                <w:rFonts w:ascii="Garamond" w:eastAsia="Calibri" w:hAnsi="Garamond" w:cs="Calibri"/>
                <w:sz w:val="24"/>
                <w:szCs w:val="24"/>
              </w:rPr>
              <w:t>/Tilli</w:t>
            </w:r>
          </w:p>
        </w:tc>
        <w:tc>
          <w:tcPr>
            <w:tcW w:w="0" w:type="auto"/>
            <w:hideMark/>
          </w:tcPr>
          <w:p w14:paraId="3747114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77.8%</w:t>
            </w:r>
          </w:p>
        </w:tc>
        <w:tc>
          <w:tcPr>
            <w:tcW w:w="0" w:type="auto"/>
            <w:hideMark/>
          </w:tcPr>
          <w:p w14:paraId="3C6E7C8D"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c>
          <w:tcPr>
            <w:tcW w:w="0" w:type="auto"/>
            <w:hideMark/>
          </w:tcPr>
          <w:p w14:paraId="75AD0A0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8.9%</w:t>
            </w:r>
          </w:p>
        </w:tc>
        <w:tc>
          <w:tcPr>
            <w:tcW w:w="0" w:type="auto"/>
            <w:hideMark/>
          </w:tcPr>
          <w:p w14:paraId="0A67BD51"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6.7%</w:t>
            </w:r>
          </w:p>
        </w:tc>
        <w:tc>
          <w:tcPr>
            <w:tcW w:w="0" w:type="auto"/>
            <w:hideMark/>
          </w:tcPr>
          <w:p w14:paraId="48D6743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2.2%</w:t>
            </w:r>
          </w:p>
        </w:tc>
        <w:tc>
          <w:tcPr>
            <w:tcW w:w="0" w:type="auto"/>
            <w:hideMark/>
          </w:tcPr>
          <w:p w14:paraId="663526C3"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4.4%</w:t>
            </w:r>
          </w:p>
        </w:tc>
        <w:tc>
          <w:tcPr>
            <w:tcW w:w="0" w:type="auto"/>
            <w:hideMark/>
          </w:tcPr>
          <w:p w14:paraId="201CFD4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0.0%</w:t>
            </w:r>
          </w:p>
        </w:tc>
      </w:tr>
      <w:tr w:rsidR="003A1DC2" w:rsidRPr="00116D0B" w14:paraId="2FD8ECDC" w14:textId="77777777" w:rsidTr="003A1DC2">
        <w:trPr>
          <w:trHeight w:val="46"/>
        </w:trPr>
        <w:tc>
          <w:tcPr>
            <w:tcW w:w="0" w:type="auto"/>
            <w:hideMark/>
          </w:tcPr>
          <w:p w14:paraId="73456DB9" w14:textId="433B9871"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Total</w:t>
            </w:r>
          </w:p>
        </w:tc>
        <w:tc>
          <w:tcPr>
            <w:tcW w:w="0" w:type="auto"/>
            <w:hideMark/>
          </w:tcPr>
          <w:p w14:paraId="498F3C75"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69.8%</w:t>
            </w:r>
          </w:p>
        </w:tc>
        <w:tc>
          <w:tcPr>
            <w:tcW w:w="0" w:type="auto"/>
            <w:hideMark/>
          </w:tcPr>
          <w:p w14:paraId="170F1DDD"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8.3%</w:t>
            </w:r>
          </w:p>
        </w:tc>
        <w:tc>
          <w:tcPr>
            <w:tcW w:w="0" w:type="auto"/>
            <w:hideMark/>
          </w:tcPr>
          <w:p w14:paraId="39F95418"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6.3%</w:t>
            </w:r>
          </w:p>
        </w:tc>
        <w:tc>
          <w:tcPr>
            <w:tcW w:w="0" w:type="auto"/>
            <w:hideMark/>
          </w:tcPr>
          <w:p w14:paraId="2D1BE80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6.1%</w:t>
            </w:r>
          </w:p>
        </w:tc>
        <w:tc>
          <w:tcPr>
            <w:tcW w:w="0" w:type="auto"/>
            <w:hideMark/>
          </w:tcPr>
          <w:p w14:paraId="22A0F6B6"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4.9%</w:t>
            </w:r>
          </w:p>
        </w:tc>
        <w:tc>
          <w:tcPr>
            <w:tcW w:w="0" w:type="auto"/>
            <w:hideMark/>
          </w:tcPr>
          <w:p w14:paraId="1425775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4.4%</w:t>
            </w:r>
          </w:p>
        </w:tc>
        <w:tc>
          <w:tcPr>
            <w:tcW w:w="0" w:type="auto"/>
            <w:hideMark/>
          </w:tcPr>
          <w:p w14:paraId="7C60FD0E" w14:textId="77777777" w:rsidR="003A1DC2" w:rsidRPr="00116D0B" w:rsidRDefault="003A1DC2" w:rsidP="003A1DC2">
            <w:pPr>
              <w:jc w:val="both"/>
              <w:rPr>
                <w:rFonts w:ascii="Garamond" w:eastAsia="Calibri" w:hAnsi="Garamond" w:cs="Calibri"/>
                <w:sz w:val="24"/>
                <w:szCs w:val="24"/>
              </w:rPr>
            </w:pPr>
            <w:r w:rsidRPr="00116D0B">
              <w:rPr>
                <w:rFonts w:ascii="Garamond" w:eastAsia="Calibri" w:hAnsi="Garamond" w:cs="Calibri"/>
                <w:sz w:val="24"/>
                <w:szCs w:val="24"/>
              </w:rPr>
              <w:t>0.2%</w:t>
            </w:r>
          </w:p>
        </w:tc>
      </w:tr>
    </w:tbl>
    <w:p w14:paraId="0D6D2971" w14:textId="099AD148" w:rsidR="003A1DC2" w:rsidRPr="00116D0B" w:rsidRDefault="003A1DC2" w:rsidP="003A1DC2">
      <w:pPr>
        <w:pStyle w:val="Heading2"/>
        <w:rPr>
          <w:rFonts w:eastAsia="Calibri"/>
          <w:szCs w:val="24"/>
        </w:rPr>
      </w:pPr>
      <w:bookmarkStart w:id="70" w:name="_Toc166775423"/>
      <w:r w:rsidRPr="00116D0B">
        <w:rPr>
          <w:rFonts w:eastAsia="Calibri"/>
          <w:szCs w:val="24"/>
        </w:rPr>
        <w:t>4.2</w:t>
      </w:r>
      <w:r w:rsidRPr="00116D0B">
        <w:rPr>
          <w:rFonts w:eastAsia="Calibri"/>
          <w:szCs w:val="24"/>
        </w:rPr>
        <w:tab/>
        <w:t>Evaluation of the CDP Sessions</w:t>
      </w:r>
      <w:bookmarkEnd w:id="70"/>
    </w:p>
    <w:p w14:paraId="029655A4" w14:textId="073DF475"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One of the key components of the project was the conduct of two-day community development plan sessions. At the ward level, the project worked closely with the Ministry for Local Government Affairs (</w:t>
      </w:r>
      <w:proofErr w:type="spellStart"/>
      <w:r w:rsidRPr="00116D0B">
        <w:rPr>
          <w:rFonts w:ascii="Garamond" w:eastAsia="Calibri" w:hAnsi="Garamond" w:cs="Calibri"/>
          <w:sz w:val="24"/>
          <w:szCs w:val="24"/>
        </w:rPr>
        <w:t>MoLG</w:t>
      </w:r>
      <w:proofErr w:type="spellEnd"/>
      <w:r w:rsidRPr="00116D0B">
        <w:rPr>
          <w:rFonts w:ascii="Garamond" w:eastAsia="Calibri" w:hAnsi="Garamond" w:cs="Calibri"/>
          <w:sz w:val="24"/>
          <w:szCs w:val="24"/>
        </w:rPr>
        <w:t>), responsible for coordination at the LGA level, in collaboration with the established LGA CDP facilitation team members and other relevant stakeholders across communities in the wards in the LGA to establish a Ward Development Coordinating Committee (WDCC) as stipulated by the Adamawa CEPP Policy and implementation guidelines. The WDCCs were established to have CDP facilitation sub-teams equipped with the needed capacity to mobilize and sensitize wards and community stakeholders for CDP sessions as well as conduct ward analysis. As a result, the endline evaluation conducted a post-evaluation of the CDP sessions, and the findings are discussed below.</w:t>
      </w:r>
    </w:p>
    <w:p w14:paraId="11E616AB" w14:textId="74A4F25F"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Regarding the participation of respondents in the CDP sessions, the endline survey indicated that participation in the CDP sessions was high among respondents, with a large proportion (74.9%) indicating they had attended the CDP sessions compared to those who did not (25.1%). Interestingly, there wasn't a significant gender gap in attendance, with females having a slightly higher participation rate than males, as shown in the table below. See Table 14 for the disaggregation of CDP attendance by ward.</w:t>
      </w:r>
    </w:p>
    <w:p w14:paraId="74A09958" w14:textId="77777777" w:rsidR="003A1DC2" w:rsidRPr="00116D0B" w:rsidRDefault="003A1DC2" w:rsidP="003A1DC2">
      <w:pPr>
        <w:spacing w:before="240" w:after="240" w:line="276" w:lineRule="auto"/>
        <w:jc w:val="both"/>
        <w:rPr>
          <w:rFonts w:ascii="Garamond" w:eastAsia="Calibri" w:hAnsi="Garamond" w:cs="Calibri"/>
          <w:sz w:val="24"/>
          <w:szCs w:val="24"/>
        </w:rPr>
      </w:pPr>
    </w:p>
    <w:p w14:paraId="7D7E2387" w14:textId="1CE662F9" w:rsidR="003A1DC2" w:rsidRPr="00116D0B" w:rsidRDefault="003A1DC2" w:rsidP="00C27173">
      <w:pPr>
        <w:pStyle w:val="Caption"/>
      </w:pPr>
      <w:bookmarkStart w:id="71" w:name="_Toc166704037"/>
      <w:r w:rsidRPr="00116D0B">
        <w:lastRenderedPageBreak/>
        <w:t xml:space="preserve">Table </w:t>
      </w:r>
      <w:fldSimple w:instr=" SEQ Table \* ARABIC ">
        <w:r w:rsidR="00116D0B" w:rsidRPr="00116D0B">
          <w:rPr>
            <w:noProof/>
          </w:rPr>
          <w:t>14</w:t>
        </w:r>
      </w:fldSimple>
      <w:r w:rsidRPr="00116D0B">
        <w:t>: Percentage of respondents reported to have attended the CDP sessions</w:t>
      </w:r>
      <w:bookmarkEnd w:id="71"/>
    </w:p>
    <w:tbl>
      <w:tblPr>
        <w:tblW w:w="4918" w:type="pct"/>
        <w:tblInd w:w="-5" w:type="dxa"/>
        <w:tblLayout w:type="fixed"/>
        <w:tblLook w:val="04A0" w:firstRow="1" w:lastRow="0" w:firstColumn="1" w:lastColumn="0" w:noHBand="0" w:noVBand="1"/>
      </w:tblPr>
      <w:tblGrid>
        <w:gridCol w:w="2164"/>
        <w:gridCol w:w="824"/>
        <w:gridCol w:w="809"/>
        <w:gridCol w:w="622"/>
        <w:gridCol w:w="187"/>
        <w:gridCol w:w="897"/>
        <w:gridCol w:w="720"/>
        <w:gridCol w:w="805"/>
        <w:gridCol w:w="897"/>
        <w:gridCol w:w="809"/>
        <w:gridCol w:w="895"/>
      </w:tblGrid>
      <w:tr w:rsidR="00C27173" w:rsidRPr="00116D0B" w14:paraId="6BF06C22" w14:textId="77777777" w:rsidTr="00C27173">
        <w:trPr>
          <w:trHeight w:val="1565"/>
        </w:trPr>
        <w:tc>
          <w:tcPr>
            <w:tcW w:w="1123" w:type="pct"/>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00ED79FF" w14:textId="0FC3F366"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Attendance of CDP session by ward</w:t>
            </w:r>
          </w:p>
        </w:tc>
        <w:tc>
          <w:tcPr>
            <w:tcW w:w="428"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16DECC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612055A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20" w:type="pct"/>
            <w:gridSpan w:val="2"/>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3083773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66"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E82804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2F7F2BA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18"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CBBABE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66"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06BE496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4D13E79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67" w:type="pct"/>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0FA94608" w14:textId="30415A2D"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C27173" w:rsidRPr="00116D0B" w14:paraId="59FBB5E6" w14:textId="77777777" w:rsidTr="00C27173">
        <w:trPr>
          <w:trHeight w:val="300"/>
        </w:trPr>
        <w:tc>
          <w:tcPr>
            <w:tcW w:w="1123" w:type="pct"/>
            <w:tcBorders>
              <w:top w:val="single" w:sz="4" w:space="0" w:color="auto"/>
              <w:left w:val="single" w:sz="4" w:space="0" w:color="auto"/>
              <w:bottom w:val="single" w:sz="4" w:space="0" w:color="auto"/>
              <w:right w:val="single" w:sz="4" w:space="0" w:color="auto"/>
            </w:tcBorders>
            <w:noWrap/>
            <w:vAlign w:val="bottom"/>
            <w:hideMark/>
          </w:tcPr>
          <w:p w14:paraId="01713C4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428" w:type="pct"/>
            <w:tcBorders>
              <w:top w:val="single" w:sz="4" w:space="0" w:color="auto"/>
              <w:left w:val="single" w:sz="4" w:space="0" w:color="auto"/>
              <w:bottom w:val="single" w:sz="4" w:space="0" w:color="auto"/>
              <w:right w:val="single" w:sz="4" w:space="0" w:color="auto"/>
            </w:tcBorders>
            <w:noWrap/>
            <w:vAlign w:val="bottom"/>
            <w:hideMark/>
          </w:tcPr>
          <w:p w14:paraId="7022473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20.9%</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6E13A1A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41.5%</w:t>
            </w:r>
          </w:p>
        </w:tc>
        <w:tc>
          <w:tcPr>
            <w:tcW w:w="420" w:type="pct"/>
            <w:gridSpan w:val="2"/>
            <w:tcBorders>
              <w:top w:val="single" w:sz="4" w:space="0" w:color="auto"/>
              <w:left w:val="single" w:sz="4" w:space="0" w:color="auto"/>
              <w:bottom w:val="single" w:sz="4" w:space="0" w:color="auto"/>
              <w:right w:val="single" w:sz="4" w:space="0" w:color="auto"/>
            </w:tcBorders>
            <w:noWrap/>
            <w:vAlign w:val="bottom"/>
            <w:hideMark/>
          </w:tcPr>
          <w:p w14:paraId="022DC61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466" w:type="pct"/>
            <w:tcBorders>
              <w:top w:val="single" w:sz="4" w:space="0" w:color="auto"/>
              <w:left w:val="single" w:sz="4" w:space="0" w:color="auto"/>
              <w:bottom w:val="single" w:sz="4" w:space="0" w:color="auto"/>
              <w:right w:val="single" w:sz="4" w:space="0" w:color="auto"/>
            </w:tcBorders>
            <w:noWrap/>
            <w:vAlign w:val="bottom"/>
            <w:hideMark/>
          </w:tcPr>
          <w:p w14:paraId="3115E17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374" w:type="pct"/>
            <w:tcBorders>
              <w:top w:val="single" w:sz="4" w:space="0" w:color="auto"/>
              <w:left w:val="single" w:sz="4" w:space="0" w:color="auto"/>
              <w:bottom w:val="single" w:sz="4" w:space="0" w:color="auto"/>
              <w:right w:val="single" w:sz="4" w:space="0" w:color="auto"/>
            </w:tcBorders>
            <w:noWrap/>
            <w:vAlign w:val="bottom"/>
            <w:hideMark/>
          </w:tcPr>
          <w:p w14:paraId="2F76412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66AF7B1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466" w:type="pct"/>
            <w:tcBorders>
              <w:top w:val="single" w:sz="4" w:space="0" w:color="auto"/>
              <w:left w:val="single" w:sz="4" w:space="0" w:color="auto"/>
              <w:bottom w:val="single" w:sz="4" w:space="0" w:color="auto"/>
              <w:right w:val="single" w:sz="4" w:space="0" w:color="auto"/>
            </w:tcBorders>
            <w:noWrap/>
            <w:vAlign w:val="bottom"/>
            <w:hideMark/>
          </w:tcPr>
          <w:p w14:paraId="75122B7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27.7%</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5519AB8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40.0%</w:t>
            </w:r>
          </w:p>
        </w:tc>
        <w:tc>
          <w:tcPr>
            <w:tcW w:w="467" w:type="pct"/>
            <w:tcBorders>
              <w:top w:val="single" w:sz="4" w:space="0" w:color="auto"/>
              <w:left w:val="single" w:sz="4" w:space="0" w:color="auto"/>
              <w:bottom w:val="single" w:sz="4" w:space="0" w:color="auto"/>
              <w:right w:val="single" w:sz="4" w:space="0" w:color="auto"/>
            </w:tcBorders>
            <w:noWrap/>
            <w:vAlign w:val="bottom"/>
            <w:hideMark/>
          </w:tcPr>
          <w:p w14:paraId="54D712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25.1%</w:t>
            </w:r>
          </w:p>
        </w:tc>
      </w:tr>
      <w:tr w:rsidR="00C27173" w:rsidRPr="00116D0B" w14:paraId="504BC70E" w14:textId="77777777" w:rsidTr="00C27173">
        <w:trPr>
          <w:trHeight w:val="300"/>
        </w:trPr>
        <w:tc>
          <w:tcPr>
            <w:tcW w:w="1123" w:type="pct"/>
            <w:tcBorders>
              <w:top w:val="single" w:sz="4" w:space="0" w:color="auto"/>
              <w:left w:val="single" w:sz="4" w:space="0" w:color="auto"/>
              <w:bottom w:val="single" w:sz="4" w:space="0" w:color="auto"/>
              <w:right w:val="single" w:sz="4" w:space="0" w:color="auto"/>
            </w:tcBorders>
            <w:noWrap/>
            <w:vAlign w:val="bottom"/>
            <w:hideMark/>
          </w:tcPr>
          <w:p w14:paraId="287E1DE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428" w:type="pct"/>
            <w:tcBorders>
              <w:top w:val="single" w:sz="4" w:space="0" w:color="auto"/>
              <w:left w:val="single" w:sz="4" w:space="0" w:color="auto"/>
              <w:bottom w:val="single" w:sz="4" w:space="0" w:color="auto"/>
              <w:right w:val="single" w:sz="4" w:space="0" w:color="auto"/>
            </w:tcBorders>
            <w:noWrap/>
            <w:vAlign w:val="bottom"/>
            <w:hideMark/>
          </w:tcPr>
          <w:p w14:paraId="094F2A7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79.1%</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D1C425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58.5%</w:t>
            </w:r>
          </w:p>
        </w:tc>
        <w:tc>
          <w:tcPr>
            <w:tcW w:w="420" w:type="pct"/>
            <w:gridSpan w:val="2"/>
            <w:tcBorders>
              <w:top w:val="single" w:sz="4" w:space="0" w:color="auto"/>
              <w:left w:val="single" w:sz="4" w:space="0" w:color="auto"/>
              <w:bottom w:val="single" w:sz="4" w:space="0" w:color="auto"/>
              <w:right w:val="single" w:sz="4" w:space="0" w:color="auto"/>
            </w:tcBorders>
            <w:noWrap/>
            <w:vAlign w:val="bottom"/>
            <w:hideMark/>
          </w:tcPr>
          <w:p w14:paraId="0029BEC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80.0%</w:t>
            </w:r>
          </w:p>
        </w:tc>
        <w:tc>
          <w:tcPr>
            <w:tcW w:w="466" w:type="pct"/>
            <w:tcBorders>
              <w:top w:val="single" w:sz="4" w:space="0" w:color="auto"/>
              <w:left w:val="single" w:sz="4" w:space="0" w:color="auto"/>
              <w:bottom w:val="single" w:sz="4" w:space="0" w:color="auto"/>
              <w:right w:val="single" w:sz="4" w:space="0" w:color="auto"/>
            </w:tcBorders>
            <w:noWrap/>
            <w:vAlign w:val="bottom"/>
            <w:hideMark/>
          </w:tcPr>
          <w:p w14:paraId="5C8984F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86.0%</w:t>
            </w:r>
          </w:p>
        </w:tc>
        <w:tc>
          <w:tcPr>
            <w:tcW w:w="374" w:type="pct"/>
            <w:tcBorders>
              <w:top w:val="single" w:sz="4" w:space="0" w:color="auto"/>
              <w:left w:val="single" w:sz="4" w:space="0" w:color="auto"/>
              <w:bottom w:val="single" w:sz="4" w:space="0" w:color="auto"/>
              <w:right w:val="single" w:sz="4" w:space="0" w:color="auto"/>
            </w:tcBorders>
            <w:noWrap/>
            <w:vAlign w:val="bottom"/>
            <w:hideMark/>
          </w:tcPr>
          <w:p w14:paraId="22BF681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79.5%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4098A4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86.0%</w:t>
            </w:r>
          </w:p>
        </w:tc>
        <w:tc>
          <w:tcPr>
            <w:tcW w:w="466" w:type="pct"/>
            <w:tcBorders>
              <w:top w:val="single" w:sz="4" w:space="0" w:color="auto"/>
              <w:left w:val="single" w:sz="4" w:space="0" w:color="auto"/>
              <w:bottom w:val="single" w:sz="4" w:space="0" w:color="auto"/>
              <w:right w:val="single" w:sz="4" w:space="0" w:color="auto"/>
            </w:tcBorders>
            <w:noWrap/>
            <w:vAlign w:val="bottom"/>
            <w:hideMark/>
          </w:tcPr>
          <w:p w14:paraId="1D0AC80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72.3%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41A835D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60.0%</w:t>
            </w:r>
          </w:p>
        </w:tc>
        <w:tc>
          <w:tcPr>
            <w:tcW w:w="467" w:type="pct"/>
            <w:tcBorders>
              <w:top w:val="single" w:sz="4" w:space="0" w:color="auto"/>
              <w:left w:val="single" w:sz="4" w:space="0" w:color="auto"/>
              <w:bottom w:val="single" w:sz="4" w:space="0" w:color="auto"/>
              <w:right w:val="single" w:sz="4" w:space="0" w:color="auto"/>
            </w:tcBorders>
            <w:noWrap/>
            <w:vAlign w:val="bottom"/>
            <w:hideMark/>
          </w:tcPr>
          <w:p w14:paraId="6D25702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74.9%</w:t>
            </w:r>
          </w:p>
        </w:tc>
      </w:tr>
      <w:tr w:rsidR="00C27173" w:rsidRPr="00116D0B" w14:paraId="569F7668" w14:textId="77777777" w:rsidTr="00C27173">
        <w:trPr>
          <w:trHeight w:val="46"/>
        </w:trPr>
        <w:tc>
          <w:tcPr>
            <w:tcW w:w="1551" w:type="pct"/>
            <w:gridSpan w:val="2"/>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4C744407" w14:textId="4BF6D90F"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Attendance of CDP session by Gender</w:t>
            </w:r>
          </w:p>
        </w:tc>
        <w:tc>
          <w:tcPr>
            <w:tcW w:w="743" w:type="pct"/>
            <w:gridSpan w:val="2"/>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23629CEE"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1354" w:type="pct"/>
            <w:gridSpan w:val="4"/>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192B2EE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352" w:type="pct"/>
            <w:gridSpan w:val="3"/>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28B22E1A" w14:textId="2FA4F4F3"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27BBF10E" w14:textId="77777777" w:rsidTr="00C27173">
        <w:trPr>
          <w:trHeight w:val="300"/>
        </w:trPr>
        <w:tc>
          <w:tcPr>
            <w:tcW w:w="1551" w:type="pct"/>
            <w:gridSpan w:val="2"/>
            <w:tcBorders>
              <w:top w:val="single" w:sz="4" w:space="0" w:color="auto"/>
              <w:left w:val="single" w:sz="4" w:space="0" w:color="auto"/>
              <w:bottom w:val="single" w:sz="4" w:space="0" w:color="auto"/>
              <w:right w:val="single" w:sz="4" w:space="0" w:color="auto"/>
            </w:tcBorders>
            <w:noWrap/>
            <w:vAlign w:val="bottom"/>
            <w:hideMark/>
          </w:tcPr>
          <w:p w14:paraId="3E8E614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743" w:type="pct"/>
            <w:gridSpan w:val="2"/>
            <w:tcBorders>
              <w:top w:val="single" w:sz="4" w:space="0" w:color="auto"/>
              <w:left w:val="single" w:sz="4" w:space="0" w:color="auto"/>
              <w:bottom w:val="single" w:sz="4" w:space="0" w:color="auto"/>
              <w:right w:val="single" w:sz="4" w:space="0" w:color="auto"/>
            </w:tcBorders>
            <w:noWrap/>
            <w:vAlign w:val="bottom"/>
            <w:hideMark/>
          </w:tcPr>
          <w:p w14:paraId="7735BC8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23.2%</w:t>
            </w:r>
          </w:p>
        </w:tc>
        <w:tc>
          <w:tcPr>
            <w:tcW w:w="1354" w:type="pct"/>
            <w:gridSpan w:val="4"/>
            <w:tcBorders>
              <w:top w:val="single" w:sz="4" w:space="0" w:color="auto"/>
              <w:left w:val="single" w:sz="4" w:space="0" w:color="auto"/>
              <w:bottom w:val="single" w:sz="4" w:space="0" w:color="auto"/>
              <w:right w:val="single" w:sz="4" w:space="0" w:color="auto"/>
            </w:tcBorders>
            <w:noWrap/>
            <w:vAlign w:val="bottom"/>
            <w:hideMark/>
          </w:tcPr>
          <w:p w14:paraId="638F411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26.7%</w:t>
            </w:r>
          </w:p>
        </w:tc>
        <w:tc>
          <w:tcPr>
            <w:tcW w:w="1352" w:type="pct"/>
            <w:gridSpan w:val="3"/>
            <w:tcBorders>
              <w:top w:val="single" w:sz="4" w:space="0" w:color="auto"/>
              <w:left w:val="single" w:sz="4" w:space="0" w:color="auto"/>
              <w:bottom w:val="single" w:sz="4" w:space="0" w:color="auto"/>
              <w:right w:val="single" w:sz="4" w:space="0" w:color="auto"/>
            </w:tcBorders>
            <w:noWrap/>
            <w:vAlign w:val="bottom"/>
            <w:hideMark/>
          </w:tcPr>
          <w:p w14:paraId="09C00CE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25.1%</w:t>
            </w:r>
          </w:p>
        </w:tc>
      </w:tr>
      <w:tr w:rsidR="003A1DC2" w:rsidRPr="00116D0B" w14:paraId="59CDA806" w14:textId="77777777" w:rsidTr="00C27173">
        <w:trPr>
          <w:trHeight w:val="300"/>
        </w:trPr>
        <w:tc>
          <w:tcPr>
            <w:tcW w:w="1551" w:type="pct"/>
            <w:gridSpan w:val="2"/>
            <w:tcBorders>
              <w:top w:val="single" w:sz="4" w:space="0" w:color="auto"/>
              <w:left w:val="single" w:sz="4" w:space="0" w:color="auto"/>
              <w:bottom w:val="single" w:sz="4" w:space="0" w:color="auto"/>
              <w:right w:val="single" w:sz="4" w:space="0" w:color="auto"/>
            </w:tcBorders>
            <w:noWrap/>
            <w:vAlign w:val="bottom"/>
            <w:hideMark/>
          </w:tcPr>
          <w:p w14:paraId="701B789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743" w:type="pct"/>
            <w:gridSpan w:val="2"/>
            <w:tcBorders>
              <w:top w:val="single" w:sz="4" w:space="0" w:color="auto"/>
              <w:left w:val="single" w:sz="4" w:space="0" w:color="auto"/>
              <w:bottom w:val="single" w:sz="4" w:space="0" w:color="auto"/>
              <w:right w:val="single" w:sz="4" w:space="0" w:color="auto"/>
            </w:tcBorders>
            <w:noWrap/>
            <w:vAlign w:val="bottom"/>
            <w:hideMark/>
          </w:tcPr>
          <w:p w14:paraId="68EDC57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76.8%</w:t>
            </w:r>
          </w:p>
        </w:tc>
        <w:tc>
          <w:tcPr>
            <w:tcW w:w="1354" w:type="pct"/>
            <w:gridSpan w:val="4"/>
            <w:tcBorders>
              <w:top w:val="single" w:sz="4" w:space="0" w:color="auto"/>
              <w:left w:val="single" w:sz="4" w:space="0" w:color="auto"/>
              <w:bottom w:val="single" w:sz="4" w:space="0" w:color="auto"/>
              <w:right w:val="single" w:sz="4" w:space="0" w:color="auto"/>
            </w:tcBorders>
            <w:noWrap/>
            <w:vAlign w:val="bottom"/>
            <w:hideMark/>
          </w:tcPr>
          <w:p w14:paraId="04BC6DA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73.3%</w:t>
            </w:r>
          </w:p>
        </w:tc>
        <w:tc>
          <w:tcPr>
            <w:tcW w:w="1352" w:type="pct"/>
            <w:gridSpan w:val="3"/>
            <w:tcBorders>
              <w:top w:val="single" w:sz="4" w:space="0" w:color="auto"/>
              <w:left w:val="single" w:sz="4" w:space="0" w:color="auto"/>
              <w:bottom w:val="single" w:sz="4" w:space="0" w:color="auto"/>
              <w:right w:val="single" w:sz="4" w:space="0" w:color="auto"/>
            </w:tcBorders>
            <w:noWrap/>
            <w:vAlign w:val="bottom"/>
            <w:hideMark/>
          </w:tcPr>
          <w:p w14:paraId="4BC82F5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74.9%</w:t>
            </w:r>
          </w:p>
        </w:tc>
      </w:tr>
    </w:tbl>
    <w:p w14:paraId="2DFCFDA8" w14:textId="7DB294C9"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Of the respondents who reported participating in the CDP sessions, the evaluation further investigated the categories in which they participated. Overall, 37.6% of respondents reported participating as economic actors, which was prevalent across all wards visited. Meanwhile, 14.5% of the respondents reported participation as female youth aged 15-35, while women categorized as housewives had a participation rate of 11.6%. Furthermore, male youth aged 15-35 participated at a rate of 8.7%, elders aged 60 and above constituted 7.7%, and government actors' involvement stood at 6.1%. See Table 15 for further details and gender disaggregation of the participation rates.</w:t>
      </w:r>
    </w:p>
    <w:p w14:paraId="7DC7E86C" w14:textId="2C7A3446" w:rsidR="003A1DC2" w:rsidRPr="00116D0B" w:rsidRDefault="003A1DC2" w:rsidP="00C27173">
      <w:pPr>
        <w:pStyle w:val="Caption"/>
      </w:pPr>
      <w:bookmarkStart w:id="72" w:name="_Toc166704038"/>
      <w:r w:rsidRPr="00116D0B">
        <w:t xml:space="preserve">Table </w:t>
      </w:r>
      <w:fldSimple w:instr=" SEQ Table \* ARABIC ">
        <w:r w:rsidR="00116D0B" w:rsidRPr="00116D0B">
          <w:rPr>
            <w:noProof/>
          </w:rPr>
          <w:t>15</w:t>
        </w:r>
      </w:fldSimple>
      <w:r w:rsidRPr="00116D0B">
        <w:t>: Participation in CDP sessions by categories</w:t>
      </w:r>
      <w:bookmarkEnd w:id="72"/>
    </w:p>
    <w:tbl>
      <w:tblPr>
        <w:tblW w:w="5332" w:type="pct"/>
        <w:tblInd w:w="-275" w:type="dxa"/>
        <w:tblLayout w:type="fixed"/>
        <w:tblLook w:val="04A0" w:firstRow="1" w:lastRow="0" w:firstColumn="1" w:lastColumn="0" w:noHBand="0" w:noVBand="1"/>
      </w:tblPr>
      <w:tblGrid>
        <w:gridCol w:w="2728"/>
        <w:gridCol w:w="847"/>
        <w:gridCol w:w="858"/>
        <w:gridCol w:w="478"/>
        <w:gridCol w:w="370"/>
        <w:gridCol w:w="848"/>
        <w:gridCol w:w="280"/>
        <w:gridCol w:w="568"/>
        <w:gridCol w:w="929"/>
        <w:gridCol w:w="17"/>
        <w:gridCol w:w="848"/>
        <w:gridCol w:w="844"/>
        <w:gridCol w:w="825"/>
      </w:tblGrid>
      <w:tr w:rsidR="003A1DC2" w:rsidRPr="00116D0B" w14:paraId="319A0B8F" w14:textId="77777777" w:rsidTr="003A1DC2">
        <w:trPr>
          <w:trHeight w:val="1340"/>
        </w:trPr>
        <w:tc>
          <w:tcPr>
            <w:tcW w:w="1307"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43FC9AA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If yes, under which of these categories did you participate?</w:t>
            </w:r>
          </w:p>
        </w:tc>
        <w:tc>
          <w:tcPr>
            <w:tcW w:w="406"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4CC6B46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11"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7E0430F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06" w:type="pct"/>
            <w:gridSpan w:val="2"/>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01D7EB4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06"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536A7B7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06" w:type="pct"/>
            <w:gridSpan w:val="2"/>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370FF25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53"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9D1614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06"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08DC0E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04"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92F1FB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394"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FE14ED4"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230538AC"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7DBA403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Economic Actors</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6D3D906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44.1%</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DDADD3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29.2%</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00669B8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34.1%</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B690AD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32.4%</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07D2C06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54.3%</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3B2C7B9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48E754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37.0%</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5836C0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44.4%</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47910F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37.6%</w:t>
            </w:r>
          </w:p>
        </w:tc>
      </w:tr>
      <w:tr w:rsidR="003A1DC2" w:rsidRPr="00116D0B" w14:paraId="105A56F2"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1A5BD25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Female Youth: 15-35</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4FA0FB6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17.6%</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DD9167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3C40166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18.2%</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01A8E7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16.2%</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47C42C2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4BDE93E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18.9%</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4DE0C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17.8%</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45A080B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3976745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14.5%</w:t>
            </w:r>
          </w:p>
        </w:tc>
      </w:tr>
      <w:tr w:rsidR="003A1DC2" w:rsidRPr="00116D0B" w14:paraId="4464B077"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74C648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Women: Housewives</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5E66D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8.8%</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3FED81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02B59B1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0C0B90E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21.6%</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32C3D08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11.4%</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1D24BD1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10.8%</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2577841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9.6%</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75146A2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25.9%</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2B38FD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11.6%</w:t>
            </w:r>
          </w:p>
        </w:tc>
      </w:tr>
      <w:tr w:rsidR="003A1DC2" w:rsidRPr="00116D0B" w14:paraId="19CB832D"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65D2AAA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Male Youth: 15-35</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5DEAD32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14B3D91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8.3%</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529AF66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15.9%</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DEAD09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5450F32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408D88F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16.2%</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0CB7AF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9.6%</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6939216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11.1%</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4FC37E2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8.7%</w:t>
            </w:r>
          </w:p>
        </w:tc>
      </w:tr>
      <w:tr w:rsidR="003A1DC2" w:rsidRPr="00116D0B" w14:paraId="66A7A5C8"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2F74032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Elders: 60+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0A8E2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11.8%</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39F8D1D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199770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61BC77E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165137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44C9491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906AD8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9.6%</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103D207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141437A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7.7%</w:t>
            </w:r>
          </w:p>
        </w:tc>
      </w:tr>
      <w:tr w:rsidR="003A1DC2" w:rsidRPr="00116D0B" w14:paraId="2476229B"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488FD8A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Government actor</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51764C5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25B73C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49749E4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11.4%</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9E8407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7DFCE93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8.6%</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6A8AFB3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0D3E4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0BE6E2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337ED9C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6.1%</w:t>
            </w:r>
          </w:p>
        </w:tc>
      </w:tr>
      <w:tr w:rsidR="003A1DC2" w:rsidRPr="00116D0B" w14:paraId="2956E413"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631A505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Women: Heads of Households</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03886CF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3C8763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5C6C61A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44EAB0D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7A8FD16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7A61EC7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9BA193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1365B6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402011C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3.9%</w:t>
            </w:r>
          </w:p>
        </w:tc>
      </w:tr>
      <w:tr w:rsidR="003A1DC2" w:rsidRPr="00116D0B" w14:paraId="59CFAFDC"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05786C2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Social Actors</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7D986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F0DC6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8.3%</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7E93157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6BABD9A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3AC926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51E404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38259F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2AC33EF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1F534D7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w:t>
            </w:r>
          </w:p>
        </w:tc>
      </w:tr>
      <w:tr w:rsidR="003A1DC2" w:rsidRPr="00116D0B" w14:paraId="3CC9E2C3" w14:textId="77777777" w:rsidTr="003A1DC2">
        <w:trPr>
          <w:trHeight w:val="600"/>
        </w:trPr>
        <w:tc>
          <w:tcPr>
            <w:tcW w:w="1307" w:type="pct"/>
            <w:tcBorders>
              <w:top w:val="single" w:sz="4" w:space="0" w:color="auto"/>
              <w:left w:val="single" w:sz="4" w:space="0" w:color="auto"/>
              <w:bottom w:val="single" w:sz="4" w:space="0" w:color="auto"/>
              <w:right w:val="single" w:sz="4" w:space="0" w:color="auto"/>
            </w:tcBorders>
            <w:vAlign w:val="bottom"/>
            <w:hideMark/>
          </w:tcPr>
          <w:p w14:paraId="0F9A7EC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Vigilante/Civilian Joint Task Force/Hunter</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4FDD1A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0860290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6C1341C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9CEF3F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5371223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8.6%</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363A84A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7DFED67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3477C7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7226279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w:t>
            </w:r>
          </w:p>
        </w:tc>
      </w:tr>
      <w:tr w:rsidR="003A1DC2" w:rsidRPr="00116D0B" w14:paraId="3B1D2FD0"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280D261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Person with disability</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B7AEC4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5C6B11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428579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585C24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477B1A5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58ADB7A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B6B187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7695AFA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67802BC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r>
      <w:tr w:rsidR="003A1DC2" w:rsidRPr="00116D0B" w14:paraId="0E128CA2" w14:textId="77777777" w:rsidTr="003A1DC2">
        <w:trPr>
          <w:trHeight w:val="900"/>
        </w:trPr>
        <w:tc>
          <w:tcPr>
            <w:tcW w:w="1307" w:type="pct"/>
            <w:tcBorders>
              <w:top w:val="single" w:sz="4" w:space="0" w:color="auto"/>
              <w:left w:val="single" w:sz="4" w:space="0" w:color="auto"/>
              <w:bottom w:val="single" w:sz="4" w:space="0" w:color="auto"/>
              <w:right w:val="single" w:sz="4" w:space="0" w:color="auto"/>
            </w:tcBorders>
            <w:vAlign w:val="bottom"/>
            <w:hideMark/>
          </w:tcPr>
          <w:p w14:paraId="69C01E5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lastRenderedPageBreak/>
              <w:t>Traditional Leader (District Head, Ward Head, Village Head)</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0A580EE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F3F6E1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6F6FEDA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3FC220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6AB1B5E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3E9CB04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C230DE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07D816C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07EF9AC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r>
      <w:tr w:rsidR="003A1DC2" w:rsidRPr="00116D0B" w14:paraId="66B33555"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78A9D46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 don’t know</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2645698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FEF17A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226BE5F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206235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72B2453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3C15B26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276B1E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5378F86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62DD813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621BF689"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0411DE9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Religious Leader</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3C95F39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FAFD24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772304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57DD9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181BD5D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7EE6874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6CE136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16ED94D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33731C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008D782F" w14:textId="77777777" w:rsidTr="003A1DC2">
        <w:trPr>
          <w:trHeight w:val="300"/>
        </w:trPr>
        <w:tc>
          <w:tcPr>
            <w:tcW w:w="1307" w:type="pct"/>
            <w:tcBorders>
              <w:top w:val="single" w:sz="4" w:space="0" w:color="auto"/>
              <w:left w:val="single" w:sz="4" w:space="0" w:color="auto"/>
              <w:bottom w:val="single" w:sz="4" w:space="0" w:color="auto"/>
              <w:right w:val="single" w:sz="4" w:space="0" w:color="auto"/>
            </w:tcBorders>
            <w:noWrap/>
            <w:vAlign w:val="bottom"/>
            <w:hideMark/>
          </w:tcPr>
          <w:p w14:paraId="65CDDC6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Religious minorities</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258C63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15D9006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40F0278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58288EC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gridSpan w:val="2"/>
            <w:tcBorders>
              <w:top w:val="single" w:sz="4" w:space="0" w:color="auto"/>
              <w:left w:val="single" w:sz="4" w:space="0" w:color="auto"/>
              <w:bottom w:val="single" w:sz="4" w:space="0" w:color="auto"/>
              <w:right w:val="single" w:sz="4" w:space="0" w:color="auto"/>
            </w:tcBorders>
            <w:noWrap/>
            <w:vAlign w:val="bottom"/>
            <w:hideMark/>
          </w:tcPr>
          <w:p w14:paraId="26F9448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53" w:type="pct"/>
            <w:gridSpan w:val="2"/>
            <w:tcBorders>
              <w:top w:val="single" w:sz="4" w:space="0" w:color="auto"/>
              <w:left w:val="single" w:sz="4" w:space="0" w:color="auto"/>
              <w:bottom w:val="single" w:sz="4" w:space="0" w:color="auto"/>
              <w:right w:val="single" w:sz="4" w:space="0" w:color="auto"/>
            </w:tcBorders>
            <w:noWrap/>
            <w:vAlign w:val="bottom"/>
            <w:hideMark/>
          </w:tcPr>
          <w:p w14:paraId="43C5B9C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6" w:type="pct"/>
            <w:tcBorders>
              <w:top w:val="single" w:sz="4" w:space="0" w:color="auto"/>
              <w:left w:val="single" w:sz="4" w:space="0" w:color="auto"/>
              <w:bottom w:val="single" w:sz="4" w:space="0" w:color="auto"/>
              <w:right w:val="single" w:sz="4" w:space="0" w:color="auto"/>
            </w:tcBorders>
            <w:noWrap/>
            <w:vAlign w:val="bottom"/>
            <w:hideMark/>
          </w:tcPr>
          <w:p w14:paraId="13756BA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w:t>
            </w:r>
          </w:p>
        </w:tc>
        <w:tc>
          <w:tcPr>
            <w:tcW w:w="404" w:type="pct"/>
            <w:tcBorders>
              <w:top w:val="single" w:sz="4" w:space="0" w:color="auto"/>
              <w:left w:val="single" w:sz="4" w:space="0" w:color="auto"/>
              <w:bottom w:val="single" w:sz="4" w:space="0" w:color="auto"/>
              <w:right w:val="single" w:sz="4" w:space="0" w:color="auto"/>
            </w:tcBorders>
            <w:noWrap/>
            <w:vAlign w:val="bottom"/>
            <w:hideMark/>
          </w:tcPr>
          <w:p w14:paraId="1AB097E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4" w:type="pct"/>
            <w:tcBorders>
              <w:top w:val="single" w:sz="4" w:space="0" w:color="auto"/>
              <w:left w:val="single" w:sz="4" w:space="0" w:color="auto"/>
              <w:bottom w:val="single" w:sz="4" w:space="0" w:color="auto"/>
              <w:right w:val="single" w:sz="4" w:space="0" w:color="auto"/>
            </w:tcBorders>
            <w:noWrap/>
            <w:vAlign w:val="bottom"/>
            <w:hideMark/>
          </w:tcPr>
          <w:p w14:paraId="03C03A6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r w:rsidR="003A1DC2" w:rsidRPr="00116D0B" w14:paraId="042AA831" w14:textId="77777777" w:rsidTr="003A1DC2">
        <w:trPr>
          <w:trHeight w:val="41"/>
        </w:trPr>
        <w:tc>
          <w:tcPr>
            <w:tcW w:w="2353" w:type="pct"/>
            <w:gridSpan w:val="4"/>
            <w:tcBorders>
              <w:top w:val="single" w:sz="4" w:space="0" w:color="auto"/>
              <w:left w:val="single" w:sz="4" w:space="0" w:color="auto"/>
              <w:bottom w:val="single" w:sz="4" w:space="0" w:color="auto"/>
              <w:right w:val="single" w:sz="4" w:space="0" w:color="auto"/>
            </w:tcBorders>
            <w:shd w:val="clear" w:color="549E39" w:fill="549E39"/>
            <w:vAlign w:val="bottom"/>
            <w:hideMark/>
          </w:tcPr>
          <w:p w14:paraId="34D3BE8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If yes, under which of these categories did you participate?</w:t>
            </w:r>
          </w:p>
        </w:tc>
        <w:tc>
          <w:tcPr>
            <w:tcW w:w="717"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3A40779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717"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56399B9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213" w:type="pct"/>
            <w:gridSpan w:val="4"/>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7B12329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Grand Total</w:t>
            </w:r>
          </w:p>
        </w:tc>
      </w:tr>
      <w:tr w:rsidR="003A1DC2" w:rsidRPr="00116D0B" w14:paraId="5E263A75"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7383063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Economic Actors</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049332F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30.9%</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1E1721A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43.8%</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787290B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37.6%</w:t>
            </w:r>
          </w:p>
        </w:tc>
      </w:tr>
      <w:tr w:rsidR="003A1DC2" w:rsidRPr="00116D0B" w14:paraId="2819C2FE"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7B9D781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Female Youth: 15-35</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6314DF2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30.2%</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32C28C8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6C94EB7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14.5%</w:t>
            </w:r>
          </w:p>
        </w:tc>
      </w:tr>
      <w:tr w:rsidR="003A1DC2" w:rsidRPr="00116D0B" w14:paraId="686B2AEF"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7F5A5B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Women: Housewives</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48834C6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24.2%</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701810A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664461D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11.6%</w:t>
            </w:r>
          </w:p>
        </w:tc>
      </w:tr>
      <w:tr w:rsidR="003A1DC2" w:rsidRPr="00116D0B" w14:paraId="7752823E"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725AEFE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Male Youth: 15-35</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25B1A1D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2A9BA9B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16.0%</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30CB038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8.7%</w:t>
            </w:r>
          </w:p>
        </w:tc>
      </w:tr>
      <w:tr w:rsidR="003A1DC2" w:rsidRPr="00116D0B" w14:paraId="5D6A7974"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335B739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Elders: 60+</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566D630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3D7C1B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13.0%</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5D3F389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7.7%</w:t>
            </w:r>
          </w:p>
        </w:tc>
      </w:tr>
      <w:tr w:rsidR="003A1DC2" w:rsidRPr="00116D0B" w14:paraId="5F367639"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58C2425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Government actor</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2F78C0D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468B479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10.5%</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6845F78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6.1%</w:t>
            </w:r>
          </w:p>
        </w:tc>
      </w:tr>
      <w:tr w:rsidR="003A1DC2" w:rsidRPr="00116D0B" w14:paraId="0B3F9588"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476243A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Women: Heads of Households</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1FCAE49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45B05D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19F29B6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3.9%</w:t>
            </w:r>
          </w:p>
        </w:tc>
      </w:tr>
      <w:tr w:rsidR="003A1DC2" w:rsidRPr="00116D0B" w14:paraId="6B80EE2A"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21584C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Social Actors</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53708A3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1F73F8B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5.6%</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3F1A357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w:t>
            </w:r>
          </w:p>
        </w:tc>
      </w:tr>
      <w:tr w:rsidR="003A1DC2" w:rsidRPr="00116D0B" w14:paraId="20469971" w14:textId="77777777" w:rsidTr="003A1DC2">
        <w:trPr>
          <w:trHeight w:val="143"/>
        </w:trPr>
        <w:tc>
          <w:tcPr>
            <w:tcW w:w="2353" w:type="pct"/>
            <w:gridSpan w:val="4"/>
            <w:tcBorders>
              <w:top w:val="single" w:sz="4" w:space="0" w:color="auto"/>
              <w:left w:val="single" w:sz="4" w:space="0" w:color="auto"/>
              <w:bottom w:val="single" w:sz="4" w:space="0" w:color="auto"/>
              <w:right w:val="single" w:sz="4" w:space="0" w:color="auto"/>
            </w:tcBorders>
            <w:vAlign w:val="bottom"/>
            <w:hideMark/>
          </w:tcPr>
          <w:p w14:paraId="4C3DB15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Vigilante/Civilian Joint Task Force/Hunter</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75C9995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520CA20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4.9%</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49B0D77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w:t>
            </w:r>
          </w:p>
        </w:tc>
      </w:tr>
      <w:tr w:rsidR="003A1DC2" w:rsidRPr="00116D0B" w14:paraId="1A498143"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4F795A2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Person with disability</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7D840BF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4DCBEA5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22EA86F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r>
      <w:tr w:rsidR="003A1DC2" w:rsidRPr="00116D0B" w14:paraId="3E163D42" w14:textId="77777777" w:rsidTr="003A1DC2">
        <w:trPr>
          <w:trHeight w:val="134"/>
        </w:trPr>
        <w:tc>
          <w:tcPr>
            <w:tcW w:w="2353" w:type="pct"/>
            <w:gridSpan w:val="4"/>
            <w:tcBorders>
              <w:top w:val="single" w:sz="4" w:space="0" w:color="auto"/>
              <w:left w:val="single" w:sz="4" w:space="0" w:color="auto"/>
              <w:bottom w:val="single" w:sz="4" w:space="0" w:color="auto"/>
              <w:right w:val="single" w:sz="4" w:space="0" w:color="auto"/>
            </w:tcBorders>
            <w:vAlign w:val="bottom"/>
            <w:hideMark/>
          </w:tcPr>
          <w:p w14:paraId="10F0A9A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Traditional Leader (District Head, Ward Head, Village Head)</w:t>
            </w:r>
          </w:p>
        </w:tc>
        <w:tc>
          <w:tcPr>
            <w:tcW w:w="717" w:type="pct"/>
            <w:gridSpan w:val="3"/>
            <w:tcBorders>
              <w:top w:val="single" w:sz="4" w:space="0" w:color="auto"/>
              <w:left w:val="single" w:sz="4" w:space="0" w:color="auto"/>
              <w:bottom w:val="single" w:sz="4" w:space="0" w:color="auto"/>
              <w:right w:val="single" w:sz="4" w:space="0" w:color="auto"/>
            </w:tcBorders>
            <w:vAlign w:val="bottom"/>
            <w:hideMark/>
          </w:tcPr>
          <w:p w14:paraId="7BA93BF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7" w:type="pct"/>
            <w:gridSpan w:val="2"/>
            <w:tcBorders>
              <w:top w:val="single" w:sz="4" w:space="0" w:color="auto"/>
              <w:left w:val="single" w:sz="4" w:space="0" w:color="auto"/>
              <w:bottom w:val="single" w:sz="4" w:space="0" w:color="auto"/>
              <w:right w:val="single" w:sz="4" w:space="0" w:color="auto"/>
            </w:tcBorders>
            <w:vAlign w:val="bottom"/>
            <w:hideMark/>
          </w:tcPr>
          <w:p w14:paraId="266F4E5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c>
          <w:tcPr>
            <w:tcW w:w="1213" w:type="pct"/>
            <w:gridSpan w:val="4"/>
            <w:tcBorders>
              <w:top w:val="single" w:sz="4" w:space="0" w:color="auto"/>
              <w:left w:val="single" w:sz="4" w:space="0" w:color="auto"/>
              <w:bottom w:val="single" w:sz="4" w:space="0" w:color="auto"/>
              <w:right w:val="single" w:sz="4" w:space="0" w:color="auto"/>
            </w:tcBorders>
            <w:vAlign w:val="bottom"/>
            <w:hideMark/>
          </w:tcPr>
          <w:p w14:paraId="171C91E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r>
      <w:tr w:rsidR="003A1DC2" w:rsidRPr="00116D0B" w14:paraId="5355F68D"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7638EDD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 don’t know</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0109E57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73B3F5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59E578B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79E77501"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23E05DC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Religious Leader</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717AA45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08FF598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471B35B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6D9EF3A4" w14:textId="77777777" w:rsidTr="003A1DC2">
        <w:trPr>
          <w:trHeight w:val="300"/>
        </w:trPr>
        <w:tc>
          <w:tcPr>
            <w:tcW w:w="2353" w:type="pct"/>
            <w:gridSpan w:val="4"/>
            <w:tcBorders>
              <w:top w:val="single" w:sz="4" w:space="0" w:color="auto"/>
              <w:left w:val="single" w:sz="4" w:space="0" w:color="auto"/>
              <w:bottom w:val="single" w:sz="4" w:space="0" w:color="auto"/>
              <w:right w:val="single" w:sz="4" w:space="0" w:color="auto"/>
            </w:tcBorders>
            <w:noWrap/>
            <w:vAlign w:val="bottom"/>
            <w:hideMark/>
          </w:tcPr>
          <w:p w14:paraId="3F809FE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Religious minorities</w:t>
            </w:r>
          </w:p>
        </w:tc>
        <w:tc>
          <w:tcPr>
            <w:tcW w:w="717" w:type="pct"/>
            <w:gridSpan w:val="3"/>
            <w:tcBorders>
              <w:top w:val="single" w:sz="4" w:space="0" w:color="auto"/>
              <w:left w:val="single" w:sz="4" w:space="0" w:color="auto"/>
              <w:bottom w:val="single" w:sz="4" w:space="0" w:color="auto"/>
              <w:right w:val="single" w:sz="4" w:space="0" w:color="auto"/>
            </w:tcBorders>
            <w:noWrap/>
            <w:vAlign w:val="bottom"/>
            <w:hideMark/>
          </w:tcPr>
          <w:p w14:paraId="4484049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7" w:type="pct"/>
            <w:gridSpan w:val="2"/>
            <w:tcBorders>
              <w:top w:val="single" w:sz="4" w:space="0" w:color="auto"/>
              <w:left w:val="single" w:sz="4" w:space="0" w:color="auto"/>
              <w:bottom w:val="single" w:sz="4" w:space="0" w:color="auto"/>
              <w:right w:val="single" w:sz="4" w:space="0" w:color="auto"/>
            </w:tcBorders>
            <w:noWrap/>
            <w:vAlign w:val="bottom"/>
            <w:hideMark/>
          </w:tcPr>
          <w:p w14:paraId="17B1D9B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c>
          <w:tcPr>
            <w:tcW w:w="1213" w:type="pct"/>
            <w:gridSpan w:val="4"/>
            <w:tcBorders>
              <w:top w:val="single" w:sz="4" w:space="0" w:color="auto"/>
              <w:left w:val="single" w:sz="4" w:space="0" w:color="auto"/>
              <w:bottom w:val="single" w:sz="4" w:space="0" w:color="auto"/>
              <w:right w:val="single" w:sz="4" w:space="0" w:color="auto"/>
            </w:tcBorders>
            <w:noWrap/>
            <w:vAlign w:val="bottom"/>
            <w:hideMark/>
          </w:tcPr>
          <w:p w14:paraId="1CFB3EA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bl>
    <w:p w14:paraId="00ABC68B" w14:textId="0E17C712"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The evaluation further explored how community members learned about the CDP sessions. Friends and neighbors were the most common source of information, with about 47% of respondents reporting this channel. Family members were another major source, with about 35.1% of respondents reporting that they learned about the CDP sessions through this medium. Other mediums through which community members learned about the CDP sessions included leaders (9%), town criers (4.5%), posters/fliers (3.7%), and road shows/dramas (0.7%).</w:t>
      </w:r>
      <w:r w:rsidRPr="00116D0B">
        <w:rPr>
          <w:rFonts w:ascii="Garamond" w:hAnsi="Garamond"/>
          <w:sz w:val="24"/>
          <w:szCs w:val="24"/>
        </w:rPr>
        <w:t xml:space="preserve"> </w:t>
      </w:r>
      <w:r w:rsidRPr="00116D0B">
        <w:rPr>
          <w:rFonts w:ascii="Garamond" w:eastAsia="Calibri" w:hAnsi="Garamond" w:cs="Calibri"/>
          <w:sz w:val="24"/>
          <w:szCs w:val="24"/>
        </w:rPr>
        <w:t>The high percentage of respondents learning about CDP sessions through friends and neighbors (47%) and family members (35.1%) underscores the importance of informal social networks in disseminating information. This suggests that leveraging these networks can be a highly effective strategy for future community engagement efforts. See table 16 for more details</w:t>
      </w:r>
    </w:p>
    <w:p w14:paraId="73D9F983" w14:textId="372673A3" w:rsidR="003A1DC2" w:rsidRPr="00116D0B" w:rsidRDefault="003A1DC2" w:rsidP="00C27173">
      <w:pPr>
        <w:pStyle w:val="Caption"/>
      </w:pPr>
      <w:bookmarkStart w:id="73" w:name="_Toc166704039"/>
      <w:r w:rsidRPr="00116D0B">
        <w:t xml:space="preserve">Table </w:t>
      </w:r>
      <w:fldSimple w:instr=" SEQ Table \* ARABIC ">
        <w:r w:rsidR="00116D0B" w:rsidRPr="00116D0B">
          <w:rPr>
            <w:noProof/>
          </w:rPr>
          <w:t>16</w:t>
        </w:r>
      </w:fldSimple>
      <w:r w:rsidRPr="00116D0B">
        <w:t>: Medium through which community members learned about the CDP sessions</w:t>
      </w:r>
      <w:bookmarkEnd w:id="73"/>
    </w:p>
    <w:tbl>
      <w:tblPr>
        <w:tblW w:w="5384" w:type="pct"/>
        <w:tblLook w:val="04A0" w:firstRow="1" w:lastRow="0" w:firstColumn="1" w:lastColumn="0" w:noHBand="0" w:noVBand="1"/>
      </w:tblPr>
      <w:tblGrid>
        <w:gridCol w:w="2849"/>
        <w:gridCol w:w="842"/>
        <w:gridCol w:w="850"/>
        <w:gridCol w:w="841"/>
        <w:gridCol w:w="959"/>
        <w:gridCol w:w="841"/>
        <w:gridCol w:w="841"/>
        <w:gridCol w:w="841"/>
        <w:gridCol w:w="841"/>
        <w:gridCol w:w="837"/>
      </w:tblGrid>
      <w:tr w:rsidR="003A1DC2" w:rsidRPr="00116D0B" w14:paraId="5DC983BC" w14:textId="77777777" w:rsidTr="003A1DC2">
        <w:trPr>
          <w:trHeight w:val="1601"/>
        </w:trPr>
        <w:tc>
          <w:tcPr>
            <w:tcW w:w="1351"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305B071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Where did you hear about it from?</w:t>
            </w:r>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2F2B24B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02"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252C5EE4"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3241259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55"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84B3C9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49602B9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9745B2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4FD9BC3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399"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F1643A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398"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442F187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1CC2DC97" w14:textId="77777777" w:rsidTr="003A1DC2">
        <w:trPr>
          <w:trHeight w:val="300"/>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16CFB79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Friends/</w:t>
            </w:r>
            <w:proofErr w:type="spellStart"/>
            <w:r w:rsidRPr="00116D0B">
              <w:rPr>
                <w:rFonts w:ascii="Garamond" w:eastAsia="Times New Roman" w:hAnsi="Garamond" w:cs="Calibri"/>
                <w:color w:val="000000"/>
                <w:sz w:val="24"/>
                <w:szCs w:val="24"/>
              </w:rPr>
              <w:t>neighbours</w:t>
            </w:r>
            <w:proofErr w:type="spellEnd"/>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9C2CB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31.6%</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010EC7C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F123CD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42.1%</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69B5A68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78C26FE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564B03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37.5%</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16CD3E7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64.5%</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5AE109E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42.9%</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0644E99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47.0%</w:t>
            </w:r>
          </w:p>
        </w:tc>
      </w:tr>
      <w:tr w:rsidR="003A1DC2" w:rsidRPr="00116D0B" w14:paraId="6C3CD501" w14:textId="77777777" w:rsidTr="003A1DC2">
        <w:trPr>
          <w:trHeight w:val="300"/>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7A955B4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Family members</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4EDC9FF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42.1%</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00F2B96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7ABF6DF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31.6%</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1CEBB7B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19F3B20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501D2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2027E9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54BE28D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47.6%</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1E3181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35.1%</w:t>
            </w:r>
          </w:p>
        </w:tc>
      </w:tr>
      <w:tr w:rsidR="003A1DC2" w:rsidRPr="00116D0B" w14:paraId="0C70F46B" w14:textId="77777777" w:rsidTr="003A1DC2">
        <w:trPr>
          <w:trHeight w:val="300"/>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74C469B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lastRenderedPageBreak/>
              <w:t>Leaders</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E198AE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10.5%</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24F24A2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7E14C27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10.5%</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7D76384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B5B152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046522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37.5%</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14CA80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7B9424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592F738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9.0%</w:t>
            </w:r>
          </w:p>
        </w:tc>
      </w:tr>
      <w:tr w:rsidR="003A1DC2" w:rsidRPr="00116D0B" w14:paraId="32CA84DE" w14:textId="77777777" w:rsidTr="003A1DC2">
        <w:trPr>
          <w:trHeight w:val="300"/>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645D5A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Town crier</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6C68B1F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15.8%</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07800E2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56AC85B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5.3%</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3392FEF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94B639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4C38F50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401D88A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480F55F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0F61B78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r>
      <w:tr w:rsidR="003A1DC2" w:rsidRPr="00116D0B" w14:paraId="7A5AD360" w14:textId="77777777" w:rsidTr="003A1DC2">
        <w:trPr>
          <w:trHeight w:val="300"/>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1E5815C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Posters/Flyers</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448916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5EFE8D3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667C08F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5.3%</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3F70B5F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62025E9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0FF46D4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F0FFD4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13745C2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71FFB8A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r>
      <w:tr w:rsidR="003A1DC2" w:rsidRPr="00116D0B" w14:paraId="54A74D6A" w14:textId="77777777" w:rsidTr="003A1DC2">
        <w:trPr>
          <w:trHeight w:val="315"/>
        </w:trPr>
        <w:tc>
          <w:tcPr>
            <w:tcW w:w="1351" w:type="pct"/>
            <w:tcBorders>
              <w:top w:val="single" w:sz="4" w:space="0" w:color="auto"/>
              <w:left w:val="single" w:sz="4" w:space="0" w:color="auto"/>
              <w:bottom w:val="single" w:sz="4" w:space="0" w:color="auto"/>
              <w:right w:val="single" w:sz="4" w:space="0" w:color="auto"/>
            </w:tcBorders>
            <w:noWrap/>
            <w:vAlign w:val="bottom"/>
            <w:hideMark/>
          </w:tcPr>
          <w:p w14:paraId="096BF0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Road shows/Drama group</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0CF45F3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2" w:type="pct"/>
            <w:tcBorders>
              <w:top w:val="single" w:sz="4" w:space="0" w:color="auto"/>
              <w:left w:val="single" w:sz="4" w:space="0" w:color="auto"/>
              <w:bottom w:val="single" w:sz="4" w:space="0" w:color="auto"/>
              <w:right w:val="single" w:sz="4" w:space="0" w:color="auto"/>
            </w:tcBorders>
            <w:noWrap/>
            <w:vAlign w:val="bottom"/>
            <w:hideMark/>
          </w:tcPr>
          <w:p w14:paraId="15F6A3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31F8528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5.3%</w:t>
            </w:r>
          </w:p>
        </w:tc>
        <w:tc>
          <w:tcPr>
            <w:tcW w:w="455" w:type="pct"/>
            <w:tcBorders>
              <w:top w:val="single" w:sz="4" w:space="0" w:color="auto"/>
              <w:left w:val="single" w:sz="4" w:space="0" w:color="auto"/>
              <w:bottom w:val="single" w:sz="4" w:space="0" w:color="auto"/>
              <w:right w:val="single" w:sz="4" w:space="0" w:color="auto"/>
            </w:tcBorders>
            <w:noWrap/>
            <w:vAlign w:val="bottom"/>
            <w:hideMark/>
          </w:tcPr>
          <w:p w14:paraId="1E832D0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9636EE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66A1D24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690CE97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F66A91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398" w:type="pct"/>
            <w:tcBorders>
              <w:top w:val="single" w:sz="4" w:space="0" w:color="auto"/>
              <w:left w:val="single" w:sz="4" w:space="0" w:color="auto"/>
              <w:bottom w:val="single" w:sz="4" w:space="0" w:color="auto"/>
              <w:right w:val="single" w:sz="4" w:space="0" w:color="auto"/>
            </w:tcBorders>
            <w:noWrap/>
            <w:vAlign w:val="bottom"/>
            <w:hideMark/>
          </w:tcPr>
          <w:p w14:paraId="1070DBA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r>
      <w:tr w:rsidR="003A1DC2" w:rsidRPr="00116D0B" w14:paraId="50DCBDED" w14:textId="77777777" w:rsidTr="003A1DC2">
        <w:trPr>
          <w:trHeight w:val="206"/>
        </w:trPr>
        <w:tc>
          <w:tcPr>
            <w:tcW w:w="2153" w:type="pct"/>
            <w:gridSpan w:val="3"/>
            <w:tcBorders>
              <w:top w:val="single" w:sz="4" w:space="0" w:color="auto"/>
              <w:left w:val="single" w:sz="4" w:space="0" w:color="auto"/>
              <w:bottom w:val="single" w:sz="4" w:space="0" w:color="auto"/>
              <w:right w:val="single" w:sz="4" w:space="0" w:color="auto"/>
            </w:tcBorders>
            <w:shd w:val="clear" w:color="549E39" w:fill="549E39"/>
            <w:vAlign w:val="bottom"/>
            <w:hideMark/>
          </w:tcPr>
          <w:p w14:paraId="3151BABE"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Where did you hear about it from?</w:t>
            </w:r>
          </w:p>
        </w:tc>
        <w:tc>
          <w:tcPr>
            <w:tcW w:w="854"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2775DFB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798"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70136CE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196"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3444DCF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7B153B5C"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3F6F05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Friends/</w:t>
            </w:r>
            <w:proofErr w:type="spellStart"/>
            <w:r w:rsidRPr="00116D0B">
              <w:rPr>
                <w:rFonts w:ascii="Garamond" w:eastAsia="Times New Roman" w:hAnsi="Garamond" w:cs="Calibri"/>
                <w:color w:val="000000"/>
                <w:sz w:val="24"/>
                <w:szCs w:val="24"/>
              </w:rPr>
              <w:t>neighbours</w:t>
            </w:r>
            <w:proofErr w:type="spellEnd"/>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2139190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52.5%</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2683272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42.5%</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10828A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47.0%</w:t>
            </w:r>
          </w:p>
        </w:tc>
      </w:tr>
      <w:tr w:rsidR="003A1DC2" w:rsidRPr="00116D0B" w14:paraId="13BD5DE1"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78932FC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Family members</w:t>
            </w:r>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419CF32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36.1%</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3D28335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34.2%</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4A46A88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35.1%</w:t>
            </w:r>
          </w:p>
        </w:tc>
      </w:tr>
      <w:tr w:rsidR="003A1DC2" w:rsidRPr="00116D0B" w14:paraId="5A9C4D6C"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62C731B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Leaders</w:t>
            </w:r>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0ECC17E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46BE80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13.7%</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155AE1F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9.0%</w:t>
            </w:r>
          </w:p>
        </w:tc>
      </w:tr>
      <w:tr w:rsidR="003A1DC2" w:rsidRPr="00116D0B" w14:paraId="37AB1FD8"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3953100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Town crier</w:t>
            </w:r>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429A0C8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2ADF24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4D8663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r>
      <w:tr w:rsidR="003A1DC2" w:rsidRPr="00116D0B" w14:paraId="62A53061"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3AF1713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Posters/Flyers</w:t>
            </w:r>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5B9048D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4.9%</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4946D9A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3E1910C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r>
      <w:tr w:rsidR="003A1DC2" w:rsidRPr="00116D0B" w14:paraId="29877201" w14:textId="77777777" w:rsidTr="003A1DC2">
        <w:trPr>
          <w:trHeight w:val="300"/>
        </w:trPr>
        <w:tc>
          <w:tcPr>
            <w:tcW w:w="2153" w:type="pct"/>
            <w:gridSpan w:val="3"/>
            <w:tcBorders>
              <w:top w:val="single" w:sz="4" w:space="0" w:color="auto"/>
              <w:left w:val="single" w:sz="4" w:space="0" w:color="auto"/>
              <w:bottom w:val="single" w:sz="4" w:space="0" w:color="auto"/>
              <w:right w:val="single" w:sz="4" w:space="0" w:color="auto"/>
            </w:tcBorders>
            <w:noWrap/>
            <w:vAlign w:val="bottom"/>
            <w:hideMark/>
          </w:tcPr>
          <w:p w14:paraId="763DD8C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Road shows/Drama group</w:t>
            </w:r>
          </w:p>
        </w:tc>
        <w:tc>
          <w:tcPr>
            <w:tcW w:w="854" w:type="pct"/>
            <w:gridSpan w:val="2"/>
            <w:tcBorders>
              <w:top w:val="single" w:sz="4" w:space="0" w:color="auto"/>
              <w:left w:val="single" w:sz="4" w:space="0" w:color="auto"/>
              <w:bottom w:val="single" w:sz="4" w:space="0" w:color="auto"/>
              <w:right w:val="single" w:sz="4" w:space="0" w:color="auto"/>
            </w:tcBorders>
            <w:noWrap/>
            <w:vAlign w:val="bottom"/>
            <w:hideMark/>
          </w:tcPr>
          <w:p w14:paraId="3DB1EE1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w:t>
            </w:r>
          </w:p>
        </w:tc>
        <w:tc>
          <w:tcPr>
            <w:tcW w:w="798" w:type="pct"/>
            <w:gridSpan w:val="2"/>
            <w:tcBorders>
              <w:top w:val="single" w:sz="4" w:space="0" w:color="auto"/>
              <w:left w:val="single" w:sz="4" w:space="0" w:color="auto"/>
              <w:bottom w:val="single" w:sz="4" w:space="0" w:color="auto"/>
              <w:right w:val="single" w:sz="4" w:space="0" w:color="auto"/>
            </w:tcBorders>
            <w:noWrap/>
            <w:vAlign w:val="bottom"/>
            <w:hideMark/>
          </w:tcPr>
          <w:p w14:paraId="6E087B6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196" w:type="pct"/>
            <w:gridSpan w:val="3"/>
            <w:tcBorders>
              <w:top w:val="single" w:sz="4" w:space="0" w:color="auto"/>
              <w:left w:val="single" w:sz="4" w:space="0" w:color="auto"/>
              <w:bottom w:val="single" w:sz="4" w:space="0" w:color="auto"/>
              <w:right w:val="single" w:sz="4" w:space="0" w:color="auto"/>
            </w:tcBorders>
            <w:noWrap/>
            <w:vAlign w:val="bottom"/>
            <w:hideMark/>
          </w:tcPr>
          <w:p w14:paraId="56738A2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r>
    </w:tbl>
    <w:p w14:paraId="4D7E1CA2" w14:textId="5431706D" w:rsidR="003A1DC2" w:rsidRPr="00116D0B" w:rsidRDefault="003A1DC2" w:rsidP="003A1DC2">
      <w:pPr>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end-line evalu</w:t>
      </w:r>
      <w:r w:rsidR="0065164D" w:rsidRPr="00116D0B">
        <w:rPr>
          <w:rFonts w:ascii="Garamond" w:eastAsia="Calibri" w:hAnsi="Garamond" w:cs="Times New Roman"/>
          <w:sz w:val="24"/>
          <w:szCs w:val="24"/>
        </w:rPr>
        <w:t>ation also</w:t>
      </w:r>
      <w:r w:rsidRPr="00116D0B">
        <w:rPr>
          <w:rFonts w:ascii="Garamond" w:eastAsia="Calibri" w:hAnsi="Garamond" w:cs="Times New Roman"/>
          <w:sz w:val="24"/>
          <w:szCs w:val="24"/>
        </w:rPr>
        <w:t xml:space="preserve"> examined the level of encouragement for participation and interaction during the CDP session workshop. Overall, the findings revealed that a significant proportion of the respondents (94.2%) agreed with the statement that “participation and interaction were encouraged during the CDP session workshop.” The findings disaggregated by gender showed that 89.9% of female respondents and 98.1% of male respondents agreed that participation and interaction were encouraged during the CDP session workshop. Additionally, the respondents were asked if the right people were invited for the CDP sessions workshop, the findings revealed that nearly all the respondents (99.3%) reported that the right people were invited to the CDP session workshop.</w:t>
      </w:r>
    </w:p>
    <w:p w14:paraId="368F23FE" w14:textId="65F0F03A"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The implication is that the CDP session workshops were highly effective in fostering an environment that encouraged active participation and interaction among participants. With the majority of the respondents agreeing that participation and interaction w</w:t>
      </w:r>
      <w:r w:rsidR="00F5750D">
        <w:rPr>
          <w:rFonts w:ascii="Garamond" w:eastAsia="Calibri" w:hAnsi="Garamond" w:cs="Calibri"/>
          <w:sz w:val="24"/>
          <w:szCs w:val="24"/>
        </w:rPr>
        <w:t>as</w:t>
      </w:r>
      <w:r w:rsidRPr="00116D0B">
        <w:rPr>
          <w:rFonts w:ascii="Garamond" w:eastAsia="Calibri" w:hAnsi="Garamond" w:cs="Calibri"/>
          <w:sz w:val="24"/>
          <w:szCs w:val="24"/>
        </w:rPr>
        <w:t xml:space="preserve"> encouraged, it </w:t>
      </w:r>
      <w:r w:rsidR="00F5750D">
        <w:rPr>
          <w:rFonts w:ascii="Garamond" w:eastAsia="Calibri" w:hAnsi="Garamond" w:cs="Calibri"/>
          <w:sz w:val="24"/>
          <w:szCs w:val="24"/>
        </w:rPr>
        <w:t>is i</w:t>
      </w:r>
      <w:r w:rsidRPr="00116D0B">
        <w:rPr>
          <w:rFonts w:ascii="Garamond" w:eastAsia="Calibri" w:hAnsi="Garamond" w:cs="Calibri"/>
          <w:sz w:val="24"/>
          <w:szCs w:val="24"/>
        </w:rPr>
        <w:t>ndicat</w:t>
      </w:r>
      <w:r w:rsidR="00F5750D">
        <w:rPr>
          <w:rFonts w:ascii="Garamond" w:eastAsia="Calibri" w:hAnsi="Garamond" w:cs="Calibri"/>
          <w:sz w:val="24"/>
          <w:szCs w:val="24"/>
        </w:rPr>
        <w:t>ive of a</w:t>
      </w:r>
      <w:r w:rsidRPr="00116D0B">
        <w:rPr>
          <w:rFonts w:ascii="Garamond" w:eastAsia="Calibri" w:hAnsi="Garamond" w:cs="Calibri"/>
          <w:sz w:val="24"/>
          <w:szCs w:val="24"/>
        </w:rPr>
        <w:t xml:space="preserve"> strong overall satisfaction with the engagement strategies used during the workshops. The high percentages of agreement across both genders (89.9% of females and 98.1% of males) suggest</w:t>
      </w:r>
      <w:r w:rsidR="00F5750D">
        <w:rPr>
          <w:rFonts w:ascii="Garamond" w:eastAsia="Calibri" w:hAnsi="Garamond" w:cs="Calibri"/>
          <w:sz w:val="24"/>
          <w:szCs w:val="24"/>
        </w:rPr>
        <w:t>s</w:t>
      </w:r>
      <w:r w:rsidRPr="00116D0B">
        <w:rPr>
          <w:rFonts w:ascii="Garamond" w:eastAsia="Calibri" w:hAnsi="Garamond" w:cs="Calibri"/>
          <w:sz w:val="24"/>
          <w:szCs w:val="24"/>
        </w:rPr>
        <w:t xml:space="preserve"> that the workshops were inclusive and successful in engaging a diverse audience. This positive feedback highlights the effectiveness of the CDP session workshops in promoting collaborative and interactive community development processes, which can lead to more robust and sustainable outcomes.</w:t>
      </w:r>
    </w:p>
    <w:p w14:paraId="5A557ECD" w14:textId="1980A339" w:rsidR="003A1DC2" w:rsidRPr="00116D0B" w:rsidRDefault="003A1DC2" w:rsidP="00C27173">
      <w:pPr>
        <w:pStyle w:val="Caption"/>
      </w:pPr>
      <w:bookmarkStart w:id="74" w:name="_Toc166704040"/>
      <w:r w:rsidRPr="00116D0B">
        <w:t xml:space="preserve">Table </w:t>
      </w:r>
      <w:fldSimple w:instr=" SEQ Table \* ARABIC ">
        <w:r w:rsidR="00116D0B" w:rsidRPr="00116D0B">
          <w:rPr>
            <w:noProof/>
          </w:rPr>
          <w:t>17</w:t>
        </w:r>
      </w:fldSimple>
      <w:r w:rsidRPr="00116D0B">
        <w:t>: Respondents perception regarding level of encouragement for participation and interaction during the CDP sessions</w:t>
      </w:r>
      <w:bookmarkEnd w:id="74"/>
    </w:p>
    <w:tbl>
      <w:tblPr>
        <w:tblW w:w="4918" w:type="pct"/>
        <w:tblInd w:w="85" w:type="dxa"/>
        <w:tblLook w:val="04A0" w:firstRow="1" w:lastRow="0" w:firstColumn="1" w:lastColumn="0" w:noHBand="0" w:noVBand="1"/>
      </w:tblPr>
      <w:tblGrid>
        <w:gridCol w:w="2525"/>
        <w:gridCol w:w="770"/>
        <w:gridCol w:w="876"/>
        <w:gridCol w:w="258"/>
        <w:gridCol w:w="524"/>
        <w:gridCol w:w="876"/>
        <w:gridCol w:w="42"/>
        <w:gridCol w:w="741"/>
        <w:gridCol w:w="615"/>
        <w:gridCol w:w="168"/>
        <w:gridCol w:w="770"/>
        <w:gridCol w:w="770"/>
        <w:gridCol w:w="770"/>
      </w:tblGrid>
      <w:tr w:rsidR="003A1DC2" w:rsidRPr="00116D0B" w14:paraId="665A5B8C" w14:textId="77777777" w:rsidTr="00C27173">
        <w:trPr>
          <w:trHeight w:val="1219"/>
        </w:trPr>
        <w:tc>
          <w:tcPr>
            <w:tcW w:w="1384"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31958FE2" w14:textId="77777777" w:rsidR="003A1DC2" w:rsidRPr="00116D0B" w:rsidRDefault="003A1DC2" w:rsidP="00C27173">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Do you agree that participation and interaction was encouraged during the CDP session workshop?</w:t>
            </w:r>
          </w:p>
        </w:tc>
        <w:tc>
          <w:tcPr>
            <w:tcW w:w="417"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51BDAB7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76"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7467D05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17" w:type="pct"/>
            <w:gridSpan w:val="2"/>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4DAF965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76"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4270BB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17" w:type="pct"/>
            <w:gridSpan w:val="2"/>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48F9B809"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17"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2F16067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17"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B02CAD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17"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352D4CA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160"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25E1E6A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005361CC" w14:textId="77777777" w:rsidTr="00C27173">
        <w:trPr>
          <w:trHeight w:val="300"/>
        </w:trPr>
        <w:tc>
          <w:tcPr>
            <w:tcW w:w="1384" w:type="pct"/>
            <w:tcBorders>
              <w:top w:val="single" w:sz="4" w:space="0" w:color="auto"/>
              <w:left w:val="single" w:sz="4" w:space="0" w:color="auto"/>
              <w:bottom w:val="single" w:sz="4" w:space="0" w:color="auto"/>
              <w:right w:val="single" w:sz="4" w:space="0" w:color="auto"/>
            </w:tcBorders>
            <w:noWrap/>
            <w:vAlign w:val="bottom"/>
            <w:hideMark/>
          </w:tcPr>
          <w:p w14:paraId="3377039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Agree</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77D2A4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88.2%</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6701B0D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46E9FC8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97.7%</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198A7BE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70BFF5C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91.4%</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0F43C6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97.3%</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362BB0B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90.4%</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4526A8C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92.6%</w:t>
            </w:r>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7725CDC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94.2%</w:t>
            </w:r>
          </w:p>
        </w:tc>
      </w:tr>
      <w:tr w:rsidR="003A1DC2" w:rsidRPr="00116D0B" w14:paraId="4FB70CEB" w14:textId="77777777" w:rsidTr="00C27173">
        <w:trPr>
          <w:trHeight w:val="300"/>
        </w:trPr>
        <w:tc>
          <w:tcPr>
            <w:tcW w:w="1384" w:type="pct"/>
            <w:tcBorders>
              <w:top w:val="single" w:sz="4" w:space="0" w:color="auto"/>
              <w:left w:val="single" w:sz="4" w:space="0" w:color="auto"/>
              <w:bottom w:val="single" w:sz="4" w:space="0" w:color="auto"/>
              <w:right w:val="single" w:sz="4" w:space="0" w:color="auto"/>
            </w:tcBorders>
            <w:noWrap/>
            <w:vAlign w:val="bottom"/>
            <w:hideMark/>
          </w:tcPr>
          <w:p w14:paraId="19DB8C2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Somewhat agree</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169D759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11.8%</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31B5D30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276D41B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257DC4F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64F940B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8.6%</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4935A82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2A80553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18527E5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FC5BB8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w:t>
            </w:r>
          </w:p>
        </w:tc>
      </w:tr>
      <w:tr w:rsidR="003A1DC2" w:rsidRPr="00116D0B" w14:paraId="42A8D374" w14:textId="77777777" w:rsidTr="00C27173">
        <w:trPr>
          <w:trHeight w:val="300"/>
        </w:trPr>
        <w:tc>
          <w:tcPr>
            <w:tcW w:w="1384" w:type="pct"/>
            <w:tcBorders>
              <w:top w:val="single" w:sz="4" w:space="0" w:color="auto"/>
              <w:left w:val="single" w:sz="4" w:space="0" w:color="auto"/>
              <w:bottom w:val="single" w:sz="4" w:space="0" w:color="auto"/>
              <w:right w:val="single" w:sz="4" w:space="0" w:color="auto"/>
            </w:tcBorders>
            <w:noWrap/>
            <w:vAlign w:val="bottom"/>
            <w:hideMark/>
          </w:tcPr>
          <w:p w14:paraId="3C77710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lastRenderedPageBreak/>
              <w:t>Neither agree nor disagree</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4D381B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7C8B42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058A880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2E9019A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6935EC1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54AF444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62DB901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1C34A27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2A48B73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r w:rsidR="003A1DC2" w:rsidRPr="00116D0B" w14:paraId="6CDE94C4" w14:textId="77777777" w:rsidTr="00C27173">
        <w:trPr>
          <w:trHeight w:val="300"/>
        </w:trPr>
        <w:tc>
          <w:tcPr>
            <w:tcW w:w="1384" w:type="pct"/>
            <w:tcBorders>
              <w:top w:val="single" w:sz="4" w:space="0" w:color="auto"/>
              <w:left w:val="single" w:sz="4" w:space="0" w:color="auto"/>
              <w:bottom w:val="single" w:sz="4" w:space="0" w:color="auto"/>
              <w:right w:val="single" w:sz="4" w:space="0" w:color="auto"/>
            </w:tcBorders>
            <w:noWrap/>
            <w:vAlign w:val="bottom"/>
            <w:hideMark/>
          </w:tcPr>
          <w:p w14:paraId="61C4DE4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Somewhat disagree</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588F710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11EF03D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197305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6CAF9A5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27C1F44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56C4D91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58C992B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480E28E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62442F7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60F140FB" w14:textId="77777777" w:rsidTr="00C27173">
        <w:trPr>
          <w:trHeight w:val="315"/>
        </w:trPr>
        <w:tc>
          <w:tcPr>
            <w:tcW w:w="1384" w:type="pct"/>
            <w:tcBorders>
              <w:top w:val="single" w:sz="4" w:space="0" w:color="auto"/>
              <w:left w:val="single" w:sz="4" w:space="0" w:color="auto"/>
              <w:bottom w:val="single" w:sz="4" w:space="0" w:color="auto"/>
              <w:right w:val="single" w:sz="4" w:space="0" w:color="auto"/>
            </w:tcBorders>
            <w:noWrap/>
            <w:vAlign w:val="bottom"/>
            <w:hideMark/>
          </w:tcPr>
          <w:p w14:paraId="31FE128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Disagree</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7B1A5BB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3D3CCFD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60FF82F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76" w:type="pct"/>
            <w:tcBorders>
              <w:top w:val="single" w:sz="4" w:space="0" w:color="auto"/>
              <w:left w:val="single" w:sz="4" w:space="0" w:color="auto"/>
              <w:bottom w:val="single" w:sz="4" w:space="0" w:color="auto"/>
              <w:right w:val="single" w:sz="4" w:space="0" w:color="auto"/>
            </w:tcBorders>
            <w:noWrap/>
            <w:vAlign w:val="bottom"/>
            <w:hideMark/>
          </w:tcPr>
          <w:p w14:paraId="454F24B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0840D0D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gridSpan w:val="2"/>
            <w:tcBorders>
              <w:top w:val="single" w:sz="4" w:space="0" w:color="auto"/>
              <w:left w:val="single" w:sz="4" w:space="0" w:color="auto"/>
              <w:bottom w:val="single" w:sz="4" w:space="0" w:color="auto"/>
              <w:right w:val="single" w:sz="4" w:space="0" w:color="auto"/>
            </w:tcBorders>
            <w:noWrap/>
            <w:vAlign w:val="bottom"/>
            <w:hideMark/>
          </w:tcPr>
          <w:p w14:paraId="399940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475A604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7" w:type="pct"/>
            <w:tcBorders>
              <w:top w:val="single" w:sz="4" w:space="0" w:color="auto"/>
              <w:left w:val="single" w:sz="4" w:space="0" w:color="auto"/>
              <w:bottom w:val="single" w:sz="4" w:space="0" w:color="auto"/>
              <w:right w:val="single" w:sz="4" w:space="0" w:color="auto"/>
            </w:tcBorders>
            <w:noWrap/>
            <w:vAlign w:val="bottom"/>
            <w:hideMark/>
          </w:tcPr>
          <w:p w14:paraId="712CAFF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60" w:type="pct"/>
            <w:tcBorders>
              <w:top w:val="single" w:sz="4" w:space="0" w:color="auto"/>
              <w:left w:val="single" w:sz="4" w:space="0" w:color="auto"/>
              <w:bottom w:val="single" w:sz="4" w:space="0" w:color="auto"/>
              <w:right w:val="single" w:sz="4" w:space="0" w:color="auto"/>
            </w:tcBorders>
            <w:noWrap/>
            <w:vAlign w:val="bottom"/>
            <w:hideMark/>
          </w:tcPr>
          <w:p w14:paraId="5A67F36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1B3036D6" w14:textId="77777777" w:rsidTr="00C27173">
        <w:trPr>
          <w:trHeight w:val="467"/>
        </w:trPr>
        <w:tc>
          <w:tcPr>
            <w:tcW w:w="2412" w:type="pct"/>
            <w:gridSpan w:val="4"/>
            <w:tcBorders>
              <w:top w:val="single" w:sz="4" w:space="0" w:color="auto"/>
              <w:left w:val="single" w:sz="4" w:space="0" w:color="auto"/>
              <w:bottom w:val="single" w:sz="4" w:space="0" w:color="auto"/>
              <w:right w:val="single" w:sz="4" w:space="0" w:color="auto"/>
            </w:tcBorders>
            <w:shd w:val="clear" w:color="549E39" w:fill="549E39"/>
            <w:vAlign w:val="bottom"/>
            <w:hideMark/>
          </w:tcPr>
          <w:p w14:paraId="2256CE7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Do you agree that participation and interaction was encouraged during the CDP session workshop?</w:t>
            </w:r>
          </w:p>
        </w:tc>
        <w:tc>
          <w:tcPr>
            <w:tcW w:w="774"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773BEA5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732"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509B265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082" w:type="pct"/>
            <w:gridSpan w:val="4"/>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B1B8E5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420B7275" w14:textId="77777777" w:rsidTr="00C27173">
        <w:trPr>
          <w:trHeight w:val="300"/>
        </w:trPr>
        <w:tc>
          <w:tcPr>
            <w:tcW w:w="2412" w:type="pct"/>
            <w:gridSpan w:val="4"/>
            <w:tcBorders>
              <w:top w:val="single" w:sz="4" w:space="0" w:color="auto"/>
              <w:left w:val="single" w:sz="4" w:space="0" w:color="auto"/>
              <w:bottom w:val="single" w:sz="4" w:space="0" w:color="auto"/>
              <w:right w:val="single" w:sz="4" w:space="0" w:color="auto"/>
            </w:tcBorders>
            <w:noWrap/>
            <w:vAlign w:val="bottom"/>
            <w:hideMark/>
          </w:tcPr>
          <w:p w14:paraId="23B46F3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Agree</w:t>
            </w:r>
          </w:p>
        </w:tc>
        <w:tc>
          <w:tcPr>
            <w:tcW w:w="774" w:type="pct"/>
            <w:gridSpan w:val="3"/>
            <w:tcBorders>
              <w:top w:val="single" w:sz="4" w:space="0" w:color="auto"/>
              <w:left w:val="single" w:sz="4" w:space="0" w:color="auto"/>
              <w:bottom w:val="single" w:sz="4" w:space="0" w:color="auto"/>
              <w:right w:val="single" w:sz="4" w:space="0" w:color="auto"/>
            </w:tcBorders>
            <w:noWrap/>
            <w:vAlign w:val="bottom"/>
            <w:hideMark/>
          </w:tcPr>
          <w:p w14:paraId="5C1B185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89.9%</w:t>
            </w:r>
          </w:p>
        </w:tc>
        <w:tc>
          <w:tcPr>
            <w:tcW w:w="732" w:type="pct"/>
            <w:gridSpan w:val="2"/>
            <w:tcBorders>
              <w:top w:val="single" w:sz="4" w:space="0" w:color="auto"/>
              <w:left w:val="single" w:sz="4" w:space="0" w:color="auto"/>
              <w:bottom w:val="single" w:sz="4" w:space="0" w:color="auto"/>
              <w:right w:val="single" w:sz="4" w:space="0" w:color="auto"/>
            </w:tcBorders>
            <w:noWrap/>
            <w:vAlign w:val="bottom"/>
            <w:hideMark/>
          </w:tcPr>
          <w:p w14:paraId="1680FA5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98.1%</w:t>
            </w:r>
          </w:p>
        </w:tc>
        <w:tc>
          <w:tcPr>
            <w:tcW w:w="1082" w:type="pct"/>
            <w:gridSpan w:val="4"/>
            <w:tcBorders>
              <w:top w:val="single" w:sz="4" w:space="0" w:color="auto"/>
              <w:left w:val="single" w:sz="4" w:space="0" w:color="auto"/>
              <w:bottom w:val="single" w:sz="4" w:space="0" w:color="auto"/>
              <w:right w:val="single" w:sz="4" w:space="0" w:color="auto"/>
            </w:tcBorders>
            <w:noWrap/>
            <w:vAlign w:val="bottom"/>
            <w:hideMark/>
          </w:tcPr>
          <w:p w14:paraId="6D110C2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94.2%</w:t>
            </w:r>
          </w:p>
        </w:tc>
      </w:tr>
      <w:tr w:rsidR="003A1DC2" w:rsidRPr="00116D0B" w14:paraId="4D84AA74" w14:textId="77777777" w:rsidTr="00C27173">
        <w:trPr>
          <w:trHeight w:val="300"/>
        </w:trPr>
        <w:tc>
          <w:tcPr>
            <w:tcW w:w="2412" w:type="pct"/>
            <w:gridSpan w:val="4"/>
            <w:tcBorders>
              <w:top w:val="single" w:sz="4" w:space="0" w:color="auto"/>
              <w:left w:val="single" w:sz="4" w:space="0" w:color="auto"/>
              <w:bottom w:val="single" w:sz="4" w:space="0" w:color="auto"/>
              <w:right w:val="single" w:sz="4" w:space="0" w:color="auto"/>
            </w:tcBorders>
            <w:noWrap/>
            <w:vAlign w:val="bottom"/>
            <w:hideMark/>
          </w:tcPr>
          <w:p w14:paraId="4C32C0F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Somewhat agree</w:t>
            </w:r>
          </w:p>
        </w:tc>
        <w:tc>
          <w:tcPr>
            <w:tcW w:w="774" w:type="pct"/>
            <w:gridSpan w:val="3"/>
            <w:tcBorders>
              <w:top w:val="single" w:sz="4" w:space="0" w:color="auto"/>
              <w:left w:val="single" w:sz="4" w:space="0" w:color="auto"/>
              <w:bottom w:val="single" w:sz="4" w:space="0" w:color="auto"/>
              <w:right w:val="single" w:sz="4" w:space="0" w:color="auto"/>
            </w:tcBorders>
            <w:noWrap/>
            <w:vAlign w:val="bottom"/>
            <w:hideMark/>
          </w:tcPr>
          <w:p w14:paraId="5221314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6.7%</w:t>
            </w:r>
          </w:p>
        </w:tc>
        <w:tc>
          <w:tcPr>
            <w:tcW w:w="732" w:type="pct"/>
            <w:gridSpan w:val="2"/>
            <w:tcBorders>
              <w:top w:val="single" w:sz="4" w:space="0" w:color="auto"/>
              <w:left w:val="single" w:sz="4" w:space="0" w:color="auto"/>
              <w:bottom w:val="single" w:sz="4" w:space="0" w:color="auto"/>
              <w:right w:val="single" w:sz="4" w:space="0" w:color="auto"/>
            </w:tcBorders>
            <w:noWrap/>
            <w:vAlign w:val="bottom"/>
            <w:hideMark/>
          </w:tcPr>
          <w:p w14:paraId="5E6D169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c>
          <w:tcPr>
            <w:tcW w:w="1082" w:type="pct"/>
            <w:gridSpan w:val="4"/>
            <w:tcBorders>
              <w:top w:val="single" w:sz="4" w:space="0" w:color="auto"/>
              <w:left w:val="single" w:sz="4" w:space="0" w:color="auto"/>
              <w:bottom w:val="single" w:sz="4" w:space="0" w:color="auto"/>
              <w:right w:val="single" w:sz="4" w:space="0" w:color="auto"/>
            </w:tcBorders>
            <w:noWrap/>
            <w:vAlign w:val="bottom"/>
            <w:hideMark/>
          </w:tcPr>
          <w:p w14:paraId="1A085A8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w:t>
            </w:r>
          </w:p>
        </w:tc>
      </w:tr>
      <w:tr w:rsidR="003A1DC2" w:rsidRPr="00116D0B" w14:paraId="51CD5D46" w14:textId="77777777" w:rsidTr="00C27173">
        <w:trPr>
          <w:trHeight w:val="300"/>
        </w:trPr>
        <w:tc>
          <w:tcPr>
            <w:tcW w:w="2412" w:type="pct"/>
            <w:gridSpan w:val="4"/>
            <w:tcBorders>
              <w:top w:val="single" w:sz="4" w:space="0" w:color="auto"/>
              <w:left w:val="single" w:sz="4" w:space="0" w:color="auto"/>
              <w:bottom w:val="single" w:sz="4" w:space="0" w:color="auto"/>
              <w:right w:val="single" w:sz="4" w:space="0" w:color="auto"/>
            </w:tcBorders>
            <w:noWrap/>
            <w:vAlign w:val="bottom"/>
            <w:hideMark/>
          </w:tcPr>
          <w:p w14:paraId="758C08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Neither agree nor disagree</w:t>
            </w:r>
          </w:p>
        </w:tc>
        <w:tc>
          <w:tcPr>
            <w:tcW w:w="774" w:type="pct"/>
            <w:gridSpan w:val="3"/>
            <w:tcBorders>
              <w:top w:val="single" w:sz="4" w:space="0" w:color="auto"/>
              <w:left w:val="single" w:sz="4" w:space="0" w:color="auto"/>
              <w:bottom w:val="single" w:sz="4" w:space="0" w:color="auto"/>
              <w:right w:val="single" w:sz="4" w:space="0" w:color="auto"/>
            </w:tcBorders>
            <w:noWrap/>
            <w:vAlign w:val="bottom"/>
            <w:hideMark/>
          </w:tcPr>
          <w:p w14:paraId="1836655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c>
          <w:tcPr>
            <w:tcW w:w="732" w:type="pct"/>
            <w:gridSpan w:val="2"/>
            <w:tcBorders>
              <w:top w:val="single" w:sz="4" w:space="0" w:color="auto"/>
              <w:left w:val="single" w:sz="4" w:space="0" w:color="auto"/>
              <w:bottom w:val="single" w:sz="4" w:space="0" w:color="auto"/>
              <w:right w:val="single" w:sz="4" w:space="0" w:color="auto"/>
            </w:tcBorders>
            <w:noWrap/>
            <w:vAlign w:val="bottom"/>
            <w:hideMark/>
          </w:tcPr>
          <w:p w14:paraId="79DB6C6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82" w:type="pct"/>
            <w:gridSpan w:val="4"/>
            <w:tcBorders>
              <w:top w:val="single" w:sz="4" w:space="0" w:color="auto"/>
              <w:left w:val="single" w:sz="4" w:space="0" w:color="auto"/>
              <w:bottom w:val="single" w:sz="4" w:space="0" w:color="auto"/>
              <w:right w:val="single" w:sz="4" w:space="0" w:color="auto"/>
            </w:tcBorders>
            <w:noWrap/>
            <w:vAlign w:val="bottom"/>
            <w:hideMark/>
          </w:tcPr>
          <w:p w14:paraId="71D9F65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r w:rsidR="003A1DC2" w:rsidRPr="00116D0B" w14:paraId="54C71C82" w14:textId="77777777" w:rsidTr="00C27173">
        <w:trPr>
          <w:trHeight w:val="300"/>
        </w:trPr>
        <w:tc>
          <w:tcPr>
            <w:tcW w:w="2412" w:type="pct"/>
            <w:gridSpan w:val="4"/>
            <w:tcBorders>
              <w:top w:val="single" w:sz="4" w:space="0" w:color="auto"/>
              <w:left w:val="single" w:sz="4" w:space="0" w:color="auto"/>
              <w:bottom w:val="single" w:sz="4" w:space="0" w:color="auto"/>
              <w:right w:val="single" w:sz="4" w:space="0" w:color="auto"/>
            </w:tcBorders>
            <w:noWrap/>
            <w:vAlign w:val="bottom"/>
            <w:hideMark/>
          </w:tcPr>
          <w:p w14:paraId="4E801A4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Somewhat disagree</w:t>
            </w:r>
          </w:p>
        </w:tc>
        <w:tc>
          <w:tcPr>
            <w:tcW w:w="774" w:type="pct"/>
            <w:gridSpan w:val="3"/>
            <w:tcBorders>
              <w:top w:val="single" w:sz="4" w:space="0" w:color="auto"/>
              <w:left w:val="single" w:sz="4" w:space="0" w:color="auto"/>
              <w:bottom w:val="single" w:sz="4" w:space="0" w:color="auto"/>
              <w:right w:val="single" w:sz="4" w:space="0" w:color="auto"/>
            </w:tcBorders>
            <w:noWrap/>
            <w:vAlign w:val="bottom"/>
            <w:hideMark/>
          </w:tcPr>
          <w:p w14:paraId="237CD31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c>
          <w:tcPr>
            <w:tcW w:w="732" w:type="pct"/>
            <w:gridSpan w:val="2"/>
            <w:tcBorders>
              <w:top w:val="single" w:sz="4" w:space="0" w:color="auto"/>
              <w:left w:val="single" w:sz="4" w:space="0" w:color="auto"/>
              <w:bottom w:val="single" w:sz="4" w:space="0" w:color="auto"/>
              <w:right w:val="single" w:sz="4" w:space="0" w:color="auto"/>
            </w:tcBorders>
            <w:noWrap/>
            <w:vAlign w:val="bottom"/>
            <w:hideMark/>
          </w:tcPr>
          <w:p w14:paraId="06BABCC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82" w:type="pct"/>
            <w:gridSpan w:val="4"/>
            <w:tcBorders>
              <w:top w:val="single" w:sz="4" w:space="0" w:color="auto"/>
              <w:left w:val="single" w:sz="4" w:space="0" w:color="auto"/>
              <w:bottom w:val="single" w:sz="4" w:space="0" w:color="auto"/>
              <w:right w:val="single" w:sz="4" w:space="0" w:color="auto"/>
            </w:tcBorders>
            <w:noWrap/>
            <w:vAlign w:val="bottom"/>
            <w:hideMark/>
          </w:tcPr>
          <w:p w14:paraId="44E9B4B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4324923A" w14:textId="77777777" w:rsidTr="00C27173">
        <w:trPr>
          <w:trHeight w:val="300"/>
        </w:trPr>
        <w:tc>
          <w:tcPr>
            <w:tcW w:w="2412" w:type="pct"/>
            <w:gridSpan w:val="4"/>
            <w:tcBorders>
              <w:top w:val="single" w:sz="4" w:space="0" w:color="auto"/>
              <w:left w:val="single" w:sz="4" w:space="0" w:color="auto"/>
              <w:bottom w:val="single" w:sz="4" w:space="0" w:color="auto"/>
              <w:right w:val="single" w:sz="4" w:space="0" w:color="auto"/>
            </w:tcBorders>
            <w:noWrap/>
            <w:vAlign w:val="bottom"/>
            <w:hideMark/>
          </w:tcPr>
          <w:p w14:paraId="759D985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Disagree</w:t>
            </w:r>
          </w:p>
        </w:tc>
        <w:tc>
          <w:tcPr>
            <w:tcW w:w="774" w:type="pct"/>
            <w:gridSpan w:val="3"/>
            <w:tcBorders>
              <w:top w:val="single" w:sz="4" w:space="0" w:color="auto"/>
              <w:left w:val="single" w:sz="4" w:space="0" w:color="auto"/>
              <w:bottom w:val="single" w:sz="4" w:space="0" w:color="auto"/>
              <w:right w:val="single" w:sz="4" w:space="0" w:color="auto"/>
            </w:tcBorders>
            <w:noWrap/>
            <w:vAlign w:val="bottom"/>
            <w:hideMark/>
          </w:tcPr>
          <w:p w14:paraId="39EB32A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w:t>
            </w:r>
          </w:p>
        </w:tc>
        <w:tc>
          <w:tcPr>
            <w:tcW w:w="732" w:type="pct"/>
            <w:gridSpan w:val="2"/>
            <w:tcBorders>
              <w:top w:val="single" w:sz="4" w:space="0" w:color="auto"/>
              <w:left w:val="single" w:sz="4" w:space="0" w:color="auto"/>
              <w:bottom w:val="single" w:sz="4" w:space="0" w:color="auto"/>
              <w:right w:val="single" w:sz="4" w:space="0" w:color="auto"/>
            </w:tcBorders>
            <w:noWrap/>
            <w:vAlign w:val="bottom"/>
            <w:hideMark/>
          </w:tcPr>
          <w:p w14:paraId="0F02144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82" w:type="pct"/>
            <w:gridSpan w:val="4"/>
            <w:tcBorders>
              <w:top w:val="single" w:sz="4" w:space="0" w:color="auto"/>
              <w:left w:val="single" w:sz="4" w:space="0" w:color="auto"/>
              <w:bottom w:val="single" w:sz="4" w:space="0" w:color="auto"/>
              <w:right w:val="single" w:sz="4" w:space="0" w:color="auto"/>
            </w:tcBorders>
            <w:noWrap/>
            <w:vAlign w:val="bottom"/>
            <w:hideMark/>
          </w:tcPr>
          <w:p w14:paraId="5DD157D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bl>
    <w:p w14:paraId="32B4846D" w14:textId="31928011"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 xml:space="preserve">The data presented in Table 18 reveals the various aspects of the CDP sessions as experienced by participants from different wards. Overall, </w:t>
      </w:r>
      <w:r w:rsidR="00ED7D41">
        <w:rPr>
          <w:rFonts w:ascii="Garamond" w:eastAsia="Calibri" w:hAnsi="Garamond" w:cs="Calibri"/>
          <w:sz w:val="24"/>
          <w:szCs w:val="24"/>
        </w:rPr>
        <w:t>75</w:t>
      </w:r>
      <w:r w:rsidRPr="00116D0B">
        <w:rPr>
          <w:rFonts w:ascii="Garamond" w:eastAsia="Calibri" w:hAnsi="Garamond" w:cs="Calibri"/>
          <w:sz w:val="24"/>
          <w:szCs w:val="24"/>
        </w:rPr>
        <w:t>% of the resp</w:t>
      </w:r>
      <w:r w:rsidR="00ED7D41">
        <w:rPr>
          <w:rFonts w:ascii="Garamond" w:eastAsia="Calibri" w:hAnsi="Garamond" w:cs="Calibri"/>
          <w:sz w:val="24"/>
          <w:szCs w:val="24"/>
        </w:rPr>
        <w:t>ondents</w:t>
      </w:r>
      <w:r w:rsidRPr="00116D0B">
        <w:rPr>
          <w:rFonts w:ascii="Garamond" w:eastAsia="Calibri" w:hAnsi="Garamond" w:cs="Calibri"/>
          <w:sz w:val="24"/>
          <w:szCs w:val="24"/>
        </w:rPr>
        <w:t xml:space="preserve"> indicated that the sessions offered opportunities to speak and ask questions, and the same percentage highlighted the discussion of useful or real issues. The use of pictures and diagrams was noted by </w:t>
      </w:r>
      <w:r w:rsidR="00ED7D41">
        <w:rPr>
          <w:rFonts w:ascii="Garamond" w:eastAsia="Calibri" w:hAnsi="Garamond" w:cs="Calibri"/>
          <w:sz w:val="24"/>
          <w:szCs w:val="24"/>
        </w:rPr>
        <w:t>72</w:t>
      </w:r>
      <w:r w:rsidRPr="00116D0B">
        <w:rPr>
          <w:rFonts w:ascii="Garamond" w:eastAsia="Calibri" w:hAnsi="Garamond" w:cs="Calibri"/>
          <w:sz w:val="24"/>
          <w:szCs w:val="24"/>
        </w:rPr>
        <w:t>% of the respo</w:t>
      </w:r>
      <w:r w:rsidR="00ED7D41">
        <w:rPr>
          <w:rFonts w:ascii="Garamond" w:eastAsia="Calibri" w:hAnsi="Garamond" w:cs="Calibri"/>
          <w:sz w:val="24"/>
          <w:szCs w:val="24"/>
        </w:rPr>
        <w:t>ndents</w:t>
      </w:r>
      <w:r w:rsidRPr="00116D0B">
        <w:rPr>
          <w:rFonts w:ascii="Garamond" w:eastAsia="Calibri" w:hAnsi="Garamond" w:cs="Calibri"/>
          <w:sz w:val="24"/>
          <w:szCs w:val="24"/>
        </w:rPr>
        <w:t xml:space="preserve">. Small group discussions were reported by </w:t>
      </w:r>
      <w:r w:rsidR="00ED7D41">
        <w:rPr>
          <w:rFonts w:ascii="Garamond" w:eastAsia="Calibri" w:hAnsi="Garamond" w:cs="Calibri"/>
          <w:sz w:val="24"/>
          <w:szCs w:val="24"/>
        </w:rPr>
        <w:t>64%</w:t>
      </w:r>
      <w:r w:rsidRPr="00116D0B">
        <w:rPr>
          <w:rFonts w:ascii="Garamond" w:eastAsia="Calibri" w:hAnsi="Garamond" w:cs="Calibri"/>
          <w:sz w:val="24"/>
          <w:szCs w:val="24"/>
        </w:rPr>
        <w:t>% of the respon</w:t>
      </w:r>
      <w:r w:rsidR="00ED7D41">
        <w:rPr>
          <w:rFonts w:ascii="Garamond" w:eastAsia="Calibri" w:hAnsi="Garamond" w:cs="Calibri"/>
          <w:sz w:val="24"/>
          <w:szCs w:val="24"/>
        </w:rPr>
        <w:t>dents</w:t>
      </w:r>
      <w:r w:rsidRPr="00116D0B">
        <w:rPr>
          <w:rFonts w:ascii="Garamond" w:eastAsia="Calibri" w:hAnsi="Garamond" w:cs="Calibri"/>
          <w:sz w:val="24"/>
          <w:szCs w:val="24"/>
        </w:rPr>
        <w:t xml:space="preserve">, while drama sessions were highlighted in </w:t>
      </w:r>
      <w:r w:rsidR="00ED7D41">
        <w:rPr>
          <w:rFonts w:ascii="Garamond" w:eastAsia="Calibri" w:hAnsi="Garamond" w:cs="Calibri"/>
          <w:sz w:val="24"/>
          <w:szCs w:val="24"/>
        </w:rPr>
        <w:t>62%</w:t>
      </w:r>
      <w:r w:rsidRPr="00116D0B">
        <w:rPr>
          <w:rFonts w:ascii="Garamond" w:eastAsia="Calibri" w:hAnsi="Garamond" w:cs="Calibri"/>
          <w:sz w:val="24"/>
          <w:szCs w:val="24"/>
        </w:rPr>
        <w:t>% of the respon</w:t>
      </w:r>
      <w:r w:rsidR="00ED7D41">
        <w:rPr>
          <w:rFonts w:ascii="Garamond" w:eastAsia="Calibri" w:hAnsi="Garamond" w:cs="Calibri"/>
          <w:sz w:val="24"/>
          <w:szCs w:val="24"/>
        </w:rPr>
        <w:t>dents</w:t>
      </w:r>
      <w:r w:rsidRPr="00116D0B">
        <w:rPr>
          <w:rFonts w:ascii="Garamond" w:eastAsia="Calibri" w:hAnsi="Garamond" w:cs="Calibri"/>
          <w:sz w:val="24"/>
          <w:szCs w:val="24"/>
        </w:rPr>
        <w:t xml:space="preserve">. Engaging in physical activities was indicated in </w:t>
      </w:r>
      <w:r w:rsidR="00ED7D41">
        <w:rPr>
          <w:rFonts w:ascii="Garamond" w:eastAsia="Calibri" w:hAnsi="Garamond" w:cs="Calibri"/>
          <w:sz w:val="24"/>
          <w:szCs w:val="24"/>
        </w:rPr>
        <w:t>59%</w:t>
      </w:r>
      <w:r w:rsidRPr="00116D0B">
        <w:rPr>
          <w:rFonts w:ascii="Garamond" w:eastAsia="Calibri" w:hAnsi="Garamond" w:cs="Calibri"/>
          <w:sz w:val="24"/>
          <w:szCs w:val="24"/>
        </w:rPr>
        <w:t xml:space="preserve"> of the respon</w:t>
      </w:r>
      <w:r w:rsidR="00ED7D41">
        <w:rPr>
          <w:rFonts w:ascii="Garamond" w:eastAsia="Calibri" w:hAnsi="Garamond" w:cs="Calibri"/>
          <w:sz w:val="24"/>
          <w:szCs w:val="24"/>
        </w:rPr>
        <w:t>dents</w:t>
      </w:r>
      <w:r w:rsidRPr="00116D0B">
        <w:rPr>
          <w:rFonts w:ascii="Garamond" w:eastAsia="Calibri" w:hAnsi="Garamond" w:cs="Calibri"/>
          <w:sz w:val="24"/>
          <w:szCs w:val="24"/>
        </w:rPr>
        <w:t>. These findings highlight that various interactive strategies were experienced during the CDP sessions.</w:t>
      </w:r>
    </w:p>
    <w:p w14:paraId="66323B56" w14:textId="5B39CD2F" w:rsidR="003A1DC2" w:rsidRPr="00116D0B" w:rsidRDefault="003A1DC2" w:rsidP="00C27173">
      <w:pPr>
        <w:pStyle w:val="Caption"/>
      </w:pPr>
      <w:bookmarkStart w:id="75" w:name="_Toc166704041"/>
      <w:r w:rsidRPr="00116D0B">
        <w:t xml:space="preserve">Table </w:t>
      </w:r>
      <w:fldSimple w:instr=" SEQ Table \* ARABIC ">
        <w:r w:rsidR="00116D0B" w:rsidRPr="00116D0B">
          <w:rPr>
            <w:noProof/>
          </w:rPr>
          <w:t>18</w:t>
        </w:r>
      </w:fldSimple>
      <w:r w:rsidRPr="00116D0B">
        <w:t>: Various aspects of the CDP sessions as experienced by participants</w:t>
      </w:r>
      <w:bookmarkEnd w:id="75"/>
    </w:p>
    <w:tbl>
      <w:tblPr>
        <w:tblW w:w="9939" w:type="dxa"/>
        <w:tblLook w:val="04A0" w:firstRow="1" w:lastRow="0" w:firstColumn="1" w:lastColumn="0" w:noHBand="0" w:noVBand="1"/>
      </w:tblPr>
      <w:tblGrid>
        <w:gridCol w:w="3240"/>
        <w:gridCol w:w="639"/>
        <w:gridCol w:w="720"/>
        <w:gridCol w:w="810"/>
        <w:gridCol w:w="720"/>
        <w:gridCol w:w="720"/>
        <w:gridCol w:w="990"/>
        <w:gridCol w:w="720"/>
        <w:gridCol w:w="810"/>
        <w:gridCol w:w="759"/>
      </w:tblGrid>
      <w:tr w:rsidR="00C27173" w:rsidRPr="00116D0B" w14:paraId="4722A371" w14:textId="77777777" w:rsidTr="00C27173">
        <w:trPr>
          <w:trHeight w:val="1323"/>
        </w:trPr>
        <w:tc>
          <w:tcPr>
            <w:tcW w:w="3240" w:type="dxa"/>
            <w:tcBorders>
              <w:top w:val="nil"/>
              <w:left w:val="nil"/>
              <w:bottom w:val="nil"/>
              <w:right w:val="nil"/>
            </w:tcBorders>
            <w:shd w:val="clear" w:color="549E39" w:fill="549E39"/>
            <w:vAlign w:val="bottom"/>
            <w:hideMark/>
          </w:tcPr>
          <w:p w14:paraId="79BC1A7C" w14:textId="77777777" w:rsidR="003A1DC2" w:rsidRPr="00116D0B" w:rsidRDefault="003A1DC2" w:rsidP="003A1DC2">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Which of the listed statements is true of the CDP session you participated in?</w:t>
            </w:r>
          </w:p>
        </w:tc>
        <w:tc>
          <w:tcPr>
            <w:tcW w:w="450" w:type="dxa"/>
            <w:tcBorders>
              <w:top w:val="nil"/>
              <w:left w:val="nil"/>
              <w:bottom w:val="nil"/>
              <w:right w:val="nil"/>
            </w:tcBorders>
            <w:shd w:val="clear" w:color="549E39" w:fill="549E39"/>
            <w:textDirection w:val="btLr"/>
            <w:hideMark/>
          </w:tcPr>
          <w:p w14:paraId="40510228" w14:textId="77777777" w:rsidR="003A1DC2" w:rsidRPr="00116D0B" w:rsidRDefault="003A1DC2" w:rsidP="003A1DC2">
            <w:pPr>
              <w:widowControl/>
              <w:autoSpaceDE/>
              <w:autoSpaceDN/>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720" w:type="dxa"/>
            <w:tcBorders>
              <w:top w:val="nil"/>
              <w:left w:val="nil"/>
              <w:bottom w:val="nil"/>
              <w:right w:val="nil"/>
            </w:tcBorders>
            <w:shd w:val="clear" w:color="549E39" w:fill="549E39"/>
            <w:textDirection w:val="btLr"/>
            <w:hideMark/>
          </w:tcPr>
          <w:p w14:paraId="7ECC7CCA" w14:textId="77777777" w:rsidR="003A1DC2" w:rsidRPr="00116D0B" w:rsidRDefault="003A1DC2" w:rsidP="003A1DC2">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810" w:type="dxa"/>
            <w:tcBorders>
              <w:top w:val="nil"/>
              <w:left w:val="nil"/>
              <w:bottom w:val="nil"/>
              <w:right w:val="nil"/>
            </w:tcBorders>
            <w:shd w:val="clear" w:color="549E39" w:fill="549E39"/>
            <w:textDirection w:val="btLr"/>
            <w:hideMark/>
          </w:tcPr>
          <w:p w14:paraId="05DC3D6F" w14:textId="77777777" w:rsidR="003A1DC2" w:rsidRPr="00116D0B" w:rsidRDefault="003A1DC2" w:rsidP="003A1DC2">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720" w:type="dxa"/>
            <w:tcBorders>
              <w:top w:val="nil"/>
              <w:left w:val="nil"/>
              <w:bottom w:val="nil"/>
              <w:right w:val="nil"/>
            </w:tcBorders>
            <w:shd w:val="clear" w:color="549E39" w:fill="549E39"/>
            <w:textDirection w:val="btLr"/>
            <w:hideMark/>
          </w:tcPr>
          <w:p w14:paraId="6D2D7C1A" w14:textId="77777777" w:rsidR="003A1DC2" w:rsidRPr="00116D0B" w:rsidRDefault="003A1DC2" w:rsidP="003A1DC2">
            <w:pPr>
              <w:widowControl/>
              <w:autoSpaceDE/>
              <w:autoSpaceDN/>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720" w:type="dxa"/>
            <w:tcBorders>
              <w:top w:val="nil"/>
              <w:left w:val="nil"/>
              <w:bottom w:val="nil"/>
              <w:right w:val="nil"/>
            </w:tcBorders>
            <w:shd w:val="clear" w:color="549E39" w:fill="549E39"/>
            <w:textDirection w:val="btLr"/>
            <w:hideMark/>
          </w:tcPr>
          <w:p w14:paraId="04FED4CE" w14:textId="77777777" w:rsidR="003A1DC2" w:rsidRPr="00116D0B" w:rsidRDefault="003A1DC2" w:rsidP="003A1DC2">
            <w:pPr>
              <w:widowControl/>
              <w:autoSpaceDE/>
              <w:autoSpaceDN/>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990" w:type="dxa"/>
            <w:tcBorders>
              <w:top w:val="nil"/>
              <w:left w:val="nil"/>
              <w:bottom w:val="nil"/>
              <w:right w:val="nil"/>
            </w:tcBorders>
            <w:shd w:val="clear" w:color="549E39" w:fill="549E39"/>
            <w:textDirection w:val="btLr"/>
            <w:hideMark/>
          </w:tcPr>
          <w:p w14:paraId="3F3690EB" w14:textId="77777777" w:rsidR="003A1DC2" w:rsidRPr="00116D0B" w:rsidRDefault="003A1DC2" w:rsidP="003A1DC2">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720" w:type="dxa"/>
            <w:tcBorders>
              <w:top w:val="nil"/>
              <w:left w:val="nil"/>
              <w:bottom w:val="nil"/>
              <w:right w:val="nil"/>
            </w:tcBorders>
            <w:shd w:val="clear" w:color="549E39" w:fill="549E39"/>
            <w:textDirection w:val="btLr"/>
            <w:hideMark/>
          </w:tcPr>
          <w:p w14:paraId="2B62560C" w14:textId="77777777" w:rsidR="003A1DC2" w:rsidRPr="00116D0B" w:rsidRDefault="003A1DC2" w:rsidP="003A1DC2">
            <w:pPr>
              <w:widowControl/>
              <w:autoSpaceDE/>
              <w:autoSpaceDN/>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810" w:type="dxa"/>
            <w:tcBorders>
              <w:top w:val="nil"/>
              <w:left w:val="nil"/>
              <w:bottom w:val="nil"/>
              <w:right w:val="nil"/>
            </w:tcBorders>
            <w:shd w:val="clear" w:color="549E39" w:fill="549E39"/>
            <w:textDirection w:val="btLr"/>
            <w:hideMark/>
          </w:tcPr>
          <w:p w14:paraId="768BD98E" w14:textId="77777777" w:rsidR="003A1DC2" w:rsidRPr="00116D0B" w:rsidRDefault="003A1DC2" w:rsidP="003A1DC2">
            <w:pPr>
              <w:widowControl/>
              <w:autoSpaceDE/>
              <w:autoSpaceDN/>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759" w:type="dxa"/>
            <w:tcBorders>
              <w:top w:val="nil"/>
              <w:left w:val="nil"/>
              <w:bottom w:val="nil"/>
              <w:right w:val="nil"/>
            </w:tcBorders>
            <w:shd w:val="clear" w:color="549E39" w:fill="549E39"/>
            <w:noWrap/>
            <w:vAlign w:val="bottom"/>
            <w:hideMark/>
          </w:tcPr>
          <w:p w14:paraId="6E261C90" w14:textId="55B0ABED" w:rsidR="003A1DC2" w:rsidRPr="00116D0B" w:rsidRDefault="003A1DC2" w:rsidP="003A1DC2">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ED7D41" w:rsidRPr="00116D0B" w14:paraId="55FCF942" w14:textId="77777777" w:rsidTr="00C27173">
        <w:trPr>
          <w:trHeight w:val="580"/>
        </w:trPr>
        <w:tc>
          <w:tcPr>
            <w:tcW w:w="3240" w:type="dxa"/>
            <w:tcBorders>
              <w:top w:val="nil"/>
              <w:left w:val="nil"/>
              <w:bottom w:val="nil"/>
              <w:right w:val="nil"/>
            </w:tcBorders>
            <w:vAlign w:val="bottom"/>
            <w:hideMark/>
          </w:tcPr>
          <w:p w14:paraId="16E50BE2"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Offered opportunities to speak and ask questions</w:t>
            </w:r>
          </w:p>
        </w:tc>
        <w:tc>
          <w:tcPr>
            <w:tcW w:w="450" w:type="dxa"/>
            <w:tcBorders>
              <w:top w:val="nil"/>
              <w:left w:val="single" w:sz="4" w:space="0" w:color="93D07B"/>
              <w:bottom w:val="nil"/>
              <w:right w:val="single" w:sz="4" w:space="0" w:color="93D07B"/>
            </w:tcBorders>
            <w:noWrap/>
            <w:vAlign w:val="bottom"/>
            <w:hideMark/>
          </w:tcPr>
          <w:p w14:paraId="6C058ACE" w14:textId="5DD8C61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74%</w:t>
            </w:r>
          </w:p>
        </w:tc>
        <w:tc>
          <w:tcPr>
            <w:tcW w:w="720" w:type="dxa"/>
            <w:tcBorders>
              <w:top w:val="nil"/>
              <w:left w:val="nil"/>
              <w:bottom w:val="nil"/>
              <w:right w:val="nil"/>
            </w:tcBorders>
            <w:noWrap/>
            <w:vAlign w:val="bottom"/>
            <w:hideMark/>
          </w:tcPr>
          <w:p w14:paraId="2BAAF966" w14:textId="7AA1E764"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79%</w:t>
            </w:r>
          </w:p>
        </w:tc>
        <w:tc>
          <w:tcPr>
            <w:tcW w:w="810" w:type="dxa"/>
            <w:tcBorders>
              <w:top w:val="nil"/>
              <w:left w:val="single" w:sz="4" w:space="0" w:color="93D07B"/>
              <w:bottom w:val="nil"/>
              <w:right w:val="single" w:sz="4" w:space="0" w:color="93D07B"/>
            </w:tcBorders>
            <w:noWrap/>
            <w:vAlign w:val="bottom"/>
            <w:hideMark/>
          </w:tcPr>
          <w:p w14:paraId="592E7B92" w14:textId="473A48AF"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89%</w:t>
            </w:r>
          </w:p>
        </w:tc>
        <w:tc>
          <w:tcPr>
            <w:tcW w:w="720" w:type="dxa"/>
            <w:tcBorders>
              <w:top w:val="nil"/>
              <w:left w:val="nil"/>
              <w:bottom w:val="nil"/>
              <w:right w:val="nil"/>
            </w:tcBorders>
            <w:noWrap/>
            <w:vAlign w:val="bottom"/>
            <w:hideMark/>
          </w:tcPr>
          <w:p w14:paraId="67476EBF" w14:textId="72FC6CC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76%</w:t>
            </w:r>
          </w:p>
        </w:tc>
        <w:tc>
          <w:tcPr>
            <w:tcW w:w="720" w:type="dxa"/>
            <w:tcBorders>
              <w:top w:val="nil"/>
              <w:left w:val="single" w:sz="4" w:space="0" w:color="93D07B"/>
              <w:bottom w:val="nil"/>
              <w:right w:val="single" w:sz="4" w:space="0" w:color="93D07B"/>
            </w:tcBorders>
            <w:noWrap/>
            <w:vAlign w:val="bottom"/>
            <w:hideMark/>
          </w:tcPr>
          <w:p w14:paraId="3A708601" w14:textId="319867E6"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57%</w:t>
            </w:r>
          </w:p>
        </w:tc>
        <w:tc>
          <w:tcPr>
            <w:tcW w:w="990" w:type="dxa"/>
            <w:tcBorders>
              <w:top w:val="nil"/>
              <w:left w:val="nil"/>
              <w:bottom w:val="nil"/>
              <w:right w:val="nil"/>
            </w:tcBorders>
            <w:noWrap/>
            <w:vAlign w:val="bottom"/>
            <w:hideMark/>
          </w:tcPr>
          <w:p w14:paraId="09D1AE6E" w14:textId="4FAFD8BB"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97%</w:t>
            </w:r>
          </w:p>
        </w:tc>
        <w:tc>
          <w:tcPr>
            <w:tcW w:w="720" w:type="dxa"/>
            <w:tcBorders>
              <w:top w:val="nil"/>
              <w:left w:val="single" w:sz="4" w:space="0" w:color="93D07B"/>
              <w:bottom w:val="nil"/>
              <w:right w:val="single" w:sz="4" w:space="0" w:color="93D07B"/>
            </w:tcBorders>
            <w:noWrap/>
            <w:vAlign w:val="bottom"/>
            <w:hideMark/>
          </w:tcPr>
          <w:p w14:paraId="4C1D722D" w14:textId="19634D8A"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74%</w:t>
            </w:r>
          </w:p>
        </w:tc>
        <w:tc>
          <w:tcPr>
            <w:tcW w:w="810" w:type="dxa"/>
            <w:tcBorders>
              <w:top w:val="nil"/>
              <w:left w:val="nil"/>
              <w:bottom w:val="nil"/>
              <w:right w:val="nil"/>
            </w:tcBorders>
            <w:noWrap/>
            <w:vAlign w:val="bottom"/>
            <w:hideMark/>
          </w:tcPr>
          <w:p w14:paraId="20B1F560" w14:textId="1DB9F5F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41%</w:t>
            </w:r>
          </w:p>
        </w:tc>
        <w:tc>
          <w:tcPr>
            <w:tcW w:w="759" w:type="dxa"/>
            <w:tcBorders>
              <w:top w:val="nil"/>
              <w:left w:val="single" w:sz="4" w:space="0" w:color="93D07B"/>
              <w:bottom w:val="nil"/>
              <w:right w:val="single" w:sz="4" w:space="0" w:color="93D07B"/>
            </w:tcBorders>
            <w:noWrap/>
            <w:vAlign w:val="bottom"/>
            <w:hideMark/>
          </w:tcPr>
          <w:p w14:paraId="661F3339" w14:textId="71CDA72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75%</w:t>
            </w:r>
          </w:p>
        </w:tc>
      </w:tr>
      <w:tr w:rsidR="00ED7D41" w:rsidRPr="00116D0B" w14:paraId="58D2B3EC" w14:textId="77777777" w:rsidTr="00C27173">
        <w:trPr>
          <w:trHeight w:val="300"/>
        </w:trPr>
        <w:tc>
          <w:tcPr>
            <w:tcW w:w="3240" w:type="dxa"/>
            <w:tcBorders>
              <w:top w:val="nil"/>
              <w:left w:val="nil"/>
              <w:bottom w:val="nil"/>
              <w:right w:val="nil"/>
            </w:tcBorders>
            <w:noWrap/>
            <w:vAlign w:val="bottom"/>
            <w:hideMark/>
          </w:tcPr>
          <w:p w14:paraId="64F333DD"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Useful/real issues were discussed</w:t>
            </w:r>
          </w:p>
        </w:tc>
        <w:tc>
          <w:tcPr>
            <w:tcW w:w="450" w:type="dxa"/>
            <w:tcBorders>
              <w:top w:val="nil"/>
              <w:left w:val="single" w:sz="4" w:space="0" w:color="93D07B"/>
              <w:bottom w:val="nil"/>
              <w:right w:val="single" w:sz="4" w:space="0" w:color="93D07B"/>
            </w:tcBorders>
            <w:noWrap/>
            <w:vAlign w:val="bottom"/>
            <w:hideMark/>
          </w:tcPr>
          <w:p w14:paraId="61198BC9" w14:textId="01938120"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62%</w:t>
            </w:r>
          </w:p>
        </w:tc>
        <w:tc>
          <w:tcPr>
            <w:tcW w:w="720" w:type="dxa"/>
            <w:tcBorders>
              <w:top w:val="nil"/>
              <w:left w:val="nil"/>
              <w:bottom w:val="nil"/>
              <w:right w:val="nil"/>
            </w:tcBorders>
            <w:noWrap/>
            <w:vAlign w:val="bottom"/>
            <w:hideMark/>
          </w:tcPr>
          <w:p w14:paraId="2C148A71" w14:textId="68BE00DC"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58%</w:t>
            </w:r>
          </w:p>
        </w:tc>
        <w:tc>
          <w:tcPr>
            <w:tcW w:w="810" w:type="dxa"/>
            <w:tcBorders>
              <w:top w:val="nil"/>
              <w:left w:val="single" w:sz="4" w:space="0" w:color="93D07B"/>
              <w:bottom w:val="nil"/>
              <w:right w:val="single" w:sz="4" w:space="0" w:color="93D07B"/>
            </w:tcBorders>
            <w:noWrap/>
            <w:vAlign w:val="bottom"/>
            <w:hideMark/>
          </w:tcPr>
          <w:p w14:paraId="2B0FE486" w14:textId="50BB85A8"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98%</w:t>
            </w:r>
          </w:p>
        </w:tc>
        <w:tc>
          <w:tcPr>
            <w:tcW w:w="720" w:type="dxa"/>
            <w:tcBorders>
              <w:top w:val="nil"/>
              <w:left w:val="nil"/>
              <w:bottom w:val="nil"/>
              <w:right w:val="nil"/>
            </w:tcBorders>
            <w:noWrap/>
            <w:vAlign w:val="bottom"/>
            <w:hideMark/>
          </w:tcPr>
          <w:p w14:paraId="1BBEA97F" w14:textId="2E4E80AA"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95%</w:t>
            </w:r>
          </w:p>
        </w:tc>
        <w:tc>
          <w:tcPr>
            <w:tcW w:w="720" w:type="dxa"/>
            <w:tcBorders>
              <w:top w:val="nil"/>
              <w:left w:val="single" w:sz="4" w:space="0" w:color="93D07B"/>
              <w:bottom w:val="nil"/>
              <w:right w:val="single" w:sz="4" w:space="0" w:color="93D07B"/>
            </w:tcBorders>
            <w:noWrap/>
            <w:vAlign w:val="bottom"/>
            <w:hideMark/>
          </w:tcPr>
          <w:p w14:paraId="7C79252E" w14:textId="77C0EF0C"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43%</w:t>
            </w:r>
          </w:p>
        </w:tc>
        <w:tc>
          <w:tcPr>
            <w:tcW w:w="990" w:type="dxa"/>
            <w:tcBorders>
              <w:top w:val="nil"/>
              <w:left w:val="nil"/>
              <w:bottom w:val="nil"/>
              <w:right w:val="nil"/>
            </w:tcBorders>
            <w:noWrap/>
            <w:vAlign w:val="bottom"/>
            <w:hideMark/>
          </w:tcPr>
          <w:p w14:paraId="4E9450D1" w14:textId="65A897E0"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100%</w:t>
            </w:r>
          </w:p>
        </w:tc>
        <w:tc>
          <w:tcPr>
            <w:tcW w:w="720" w:type="dxa"/>
            <w:tcBorders>
              <w:top w:val="nil"/>
              <w:left w:val="single" w:sz="4" w:space="0" w:color="93D07B"/>
              <w:bottom w:val="nil"/>
              <w:right w:val="single" w:sz="4" w:space="0" w:color="93D07B"/>
            </w:tcBorders>
            <w:noWrap/>
            <w:vAlign w:val="bottom"/>
            <w:hideMark/>
          </w:tcPr>
          <w:p w14:paraId="2AED4C8D" w14:textId="5100D9E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82%</w:t>
            </w:r>
          </w:p>
        </w:tc>
        <w:tc>
          <w:tcPr>
            <w:tcW w:w="810" w:type="dxa"/>
            <w:tcBorders>
              <w:top w:val="nil"/>
              <w:left w:val="nil"/>
              <w:bottom w:val="nil"/>
              <w:right w:val="nil"/>
            </w:tcBorders>
            <w:noWrap/>
            <w:vAlign w:val="bottom"/>
            <w:hideMark/>
          </w:tcPr>
          <w:p w14:paraId="6C9E82E7" w14:textId="2736A88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26%</w:t>
            </w:r>
          </w:p>
        </w:tc>
        <w:tc>
          <w:tcPr>
            <w:tcW w:w="759" w:type="dxa"/>
            <w:tcBorders>
              <w:top w:val="nil"/>
              <w:left w:val="single" w:sz="4" w:space="0" w:color="93D07B"/>
              <w:bottom w:val="nil"/>
              <w:right w:val="single" w:sz="4" w:space="0" w:color="93D07B"/>
            </w:tcBorders>
            <w:noWrap/>
            <w:vAlign w:val="bottom"/>
            <w:hideMark/>
          </w:tcPr>
          <w:p w14:paraId="1810D547" w14:textId="032FEE3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75%</w:t>
            </w:r>
          </w:p>
        </w:tc>
      </w:tr>
      <w:tr w:rsidR="00ED7D41" w:rsidRPr="00116D0B" w14:paraId="77FEB1C4" w14:textId="77777777" w:rsidTr="00C27173">
        <w:trPr>
          <w:trHeight w:val="290"/>
        </w:trPr>
        <w:tc>
          <w:tcPr>
            <w:tcW w:w="3240" w:type="dxa"/>
            <w:tcBorders>
              <w:top w:val="nil"/>
              <w:left w:val="nil"/>
              <w:bottom w:val="nil"/>
              <w:right w:val="nil"/>
            </w:tcBorders>
            <w:vAlign w:val="bottom"/>
            <w:hideMark/>
          </w:tcPr>
          <w:p w14:paraId="264D483E"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Pictures and diagrams were used</w:t>
            </w:r>
          </w:p>
        </w:tc>
        <w:tc>
          <w:tcPr>
            <w:tcW w:w="450" w:type="dxa"/>
            <w:tcBorders>
              <w:top w:val="nil"/>
              <w:left w:val="single" w:sz="4" w:space="0" w:color="93D07B"/>
              <w:bottom w:val="nil"/>
              <w:right w:val="single" w:sz="4" w:space="0" w:color="93D07B"/>
            </w:tcBorders>
            <w:noWrap/>
            <w:vAlign w:val="bottom"/>
            <w:hideMark/>
          </w:tcPr>
          <w:p w14:paraId="7DD92E63" w14:textId="008D5F91"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79%</w:t>
            </w:r>
          </w:p>
        </w:tc>
        <w:tc>
          <w:tcPr>
            <w:tcW w:w="720" w:type="dxa"/>
            <w:tcBorders>
              <w:top w:val="nil"/>
              <w:left w:val="nil"/>
              <w:bottom w:val="nil"/>
              <w:right w:val="nil"/>
            </w:tcBorders>
            <w:noWrap/>
            <w:vAlign w:val="bottom"/>
            <w:hideMark/>
          </w:tcPr>
          <w:p w14:paraId="0FD59131" w14:textId="3F2E37D2"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58%</w:t>
            </w:r>
          </w:p>
        </w:tc>
        <w:tc>
          <w:tcPr>
            <w:tcW w:w="810" w:type="dxa"/>
            <w:tcBorders>
              <w:top w:val="nil"/>
              <w:left w:val="single" w:sz="4" w:space="0" w:color="93D07B"/>
              <w:bottom w:val="nil"/>
              <w:right w:val="single" w:sz="4" w:space="0" w:color="93D07B"/>
            </w:tcBorders>
            <w:noWrap/>
            <w:vAlign w:val="bottom"/>
            <w:hideMark/>
          </w:tcPr>
          <w:p w14:paraId="0F2FB6C8" w14:textId="4F6451D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80%</w:t>
            </w:r>
          </w:p>
        </w:tc>
        <w:tc>
          <w:tcPr>
            <w:tcW w:w="720" w:type="dxa"/>
            <w:tcBorders>
              <w:top w:val="nil"/>
              <w:left w:val="nil"/>
              <w:bottom w:val="nil"/>
              <w:right w:val="nil"/>
            </w:tcBorders>
            <w:noWrap/>
            <w:vAlign w:val="bottom"/>
            <w:hideMark/>
          </w:tcPr>
          <w:p w14:paraId="3483D00D" w14:textId="2B65E3BC"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89%</w:t>
            </w:r>
          </w:p>
        </w:tc>
        <w:tc>
          <w:tcPr>
            <w:tcW w:w="720" w:type="dxa"/>
            <w:tcBorders>
              <w:top w:val="nil"/>
              <w:left w:val="single" w:sz="4" w:space="0" w:color="93D07B"/>
              <w:bottom w:val="nil"/>
              <w:right w:val="single" w:sz="4" w:space="0" w:color="93D07B"/>
            </w:tcBorders>
            <w:noWrap/>
            <w:vAlign w:val="bottom"/>
            <w:hideMark/>
          </w:tcPr>
          <w:p w14:paraId="3FD161CF" w14:textId="356B5C4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69%</w:t>
            </w:r>
          </w:p>
        </w:tc>
        <w:tc>
          <w:tcPr>
            <w:tcW w:w="990" w:type="dxa"/>
            <w:tcBorders>
              <w:top w:val="nil"/>
              <w:left w:val="nil"/>
              <w:bottom w:val="nil"/>
              <w:right w:val="nil"/>
            </w:tcBorders>
            <w:noWrap/>
            <w:vAlign w:val="bottom"/>
            <w:hideMark/>
          </w:tcPr>
          <w:p w14:paraId="5EA208EE" w14:textId="6FA56E89"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100%</w:t>
            </w:r>
          </w:p>
        </w:tc>
        <w:tc>
          <w:tcPr>
            <w:tcW w:w="720" w:type="dxa"/>
            <w:tcBorders>
              <w:top w:val="nil"/>
              <w:left w:val="single" w:sz="4" w:space="0" w:color="93D07B"/>
              <w:bottom w:val="nil"/>
              <w:right w:val="single" w:sz="4" w:space="0" w:color="93D07B"/>
            </w:tcBorders>
            <w:noWrap/>
            <w:vAlign w:val="bottom"/>
            <w:hideMark/>
          </w:tcPr>
          <w:p w14:paraId="093D7E49" w14:textId="4A30B17C"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68%</w:t>
            </w:r>
          </w:p>
        </w:tc>
        <w:tc>
          <w:tcPr>
            <w:tcW w:w="810" w:type="dxa"/>
            <w:tcBorders>
              <w:top w:val="nil"/>
              <w:left w:val="nil"/>
              <w:bottom w:val="nil"/>
              <w:right w:val="nil"/>
            </w:tcBorders>
            <w:noWrap/>
            <w:vAlign w:val="bottom"/>
            <w:hideMark/>
          </w:tcPr>
          <w:p w14:paraId="1722789C" w14:textId="61A4E755"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15%</w:t>
            </w:r>
          </w:p>
        </w:tc>
        <w:tc>
          <w:tcPr>
            <w:tcW w:w="759" w:type="dxa"/>
            <w:tcBorders>
              <w:top w:val="nil"/>
              <w:left w:val="single" w:sz="4" w:space="0" w:color="93D07B"/>
              <w:bottom w:val="nil"/>
              <w:right w:val="single" w:sz="4" w:space="0" w:color="93D07B"/>
            </w:tcBorders>
            <w:noWrap/>
            <w:vAlign w:val="bottom"/>
            <w:hideMark/>
          </w:tcPr>
          <w:p w14:paraId="2079B418" w14:textId="066AEB9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72%</w:t>
            </w:r>
          </w:p>
        </w:tc>
      </w:tr>
      <w:tr w:rsidR="00ED7D41" w:rsidRPr="00116D0B" w14:paraId="01F938DA" w14:textId="77777777" w:rsidTr="00C27173">
        <w:trPr>
          <w:trHeight w:val="290"/>
        </w:trPr>
        <w:tc>
          <w:tcPr>
            <w:tcW w:w="3240" w:type="dxa"/>
            <w:tcBorders>
              <w:top w:val="nil"/>
              <w:left w:val="nil"/>
              <w:bottom w:val="nil"/>
              <w:right w:val="nil"/>
            </w:tcBorders>
            <w:vAlign w:val="bottom"/>
            <w:hideMark/>
          </w:tcPr>
          <w:p w14:paraId="00F69D20"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Discussion/small group session</w:t>
            </w:r>
          </w:p>
        </w:tc>
        <w:tc>
          <w:tcPr>
            <w:tcW w:w="450" w:type="dxa"/>
            <w:tcBorders>
              <w:top w:val="nil"/>
              <w:left w:val="single" w:sz="4" w:space="0" w:color="93D07B"/>
              <w:bottom w:val="nil"/>
              <w:right w:val="single" w:sz="4" w:space="0" w:color="93D07B"/>
            </w:tcBorders>
            <w:noWrap/>
            <w:vAlign w:val="bottom"/>
            <w:hideMark/>
          </w:tcPr>
          <w:p w14:paraId="0FF67DEA" w14:textId="04F528C0"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47%</w:t>
            </w:r>
          </w:p>
        </w:tc>
        <w:tc>
          <w:tcPr>
            <w:tcW w:w="720" w:type="dxa"/>
            <w:tcBorders>
              <w:top w:val="nil"/>
              <w:left w:val="nil"/>
              <w:bottom w:val="nil"/>
              <w:right w:val="nil"/>
            </w:tcBorders>
            <w:noWrap/>
            <w:vAlign w:val="bottom"/>
            <w:hideMark/>
          </w:tcPr>
          <w:p w14:paraId="7E4930B4" w14:textId="5E292855"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71%</w:t>
            </w:r>
          </w:p>
        </w:tc>
        <w:tc>
          <w:tcPr>
            <w:tcW w:w="810" w:type="dxa"/>
            <w:tcBorders>
              <w:top w:val="nil"/>
              <w:left w:val="single" w:sz="4" w:space="0" w:color="93D07B"/>
              <w:bottom w:val="nil"/>
              <w:right w:val="single" w:sz="4" w:space="0" w:color="93D07B"/>
            </w:tcBorders>
            <w:noWrap/>
            <w:vAlign w:val="bottom"/>
            <w:hideMark/>
          </w:tcPr>
          <w:p w14:paraId="58DE65A8" w14:textId="6BB2466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80%</w:t>
            </w:r>
          </w:p>
        </w:tc>
        <w:tc>
          <w:tcPr>
            <w:tcW w:w="720" w:type="dxa"/>
            <w:tcBorders>
              <w:top w:val="nil"/>
              <w:left w:val="nil"/>
              <w:bottom w:val="nil"/>
              <w:right w:val="nil"/>
            </w:tcBorders>
            <w:noWrap/>
            <w:vAlign w:val="bottom"/>
            <w:hideMark/>
          </w:tcPr>
          <w:p w14:paraId="66EED4CA" w14:textId="3BF4DDB6"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49%</w:t>
            </w:r>
          </w:p>
        </w:tc>
        <w:tc>
          <w:tcPr>
            <w:tcW w:w="720" w:type="dxa"/>
            <w:tcBorders>
              <w:top w:val="nil"/>
              <w:left w:val="single" w:sz="4" w:space="0" w:color="93D07B"/>
              <w:bottom w:val="nil"/>
              <w:right w:val="single" w:sz="4" w:space="0" w:color="93D07B"/>
            </w:tcBorders>
            <w:noWrap/>
            <w:vAlign w:val="bottom"/>
            <w:hideMark/>
          </w:tcPr>
          <w:p w14:paraId="736645C3" w14:textId="2B562A5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63%</w:t>
            </w:r>
          </w:p>
        </w:tc>
        <w:tc>
          <w:tcPr>
            <w:tcW w:w="990" w:type="dxa"/>
            <w:tcBorders>
              <w:top w:val="nil"/>
              <w:left w:val="nil"/>
              <w:bottom w:val="nil"/>
              <w:right w:val="nil"/>
            </w:tcBorders>
            <w:noWrap/>
            <w:vAlign w:val="bottom"/>
            <w:hideMark/>
          </w:tcPr>
          <w:p w14:paraId="358F37C3" w14:textId="434B0A52"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100%</w:t>
            </w:r>
          </w:p>
        </w:tc>
        <w:tc>
          <w:tcPr>
            <w:tcW w:w="720" w:type="dxa"/>
            <w:tcBorders>
              <w:top w:val="nil"/>
              <w:left w:val="single" w:sz="4" w:space="0" w:color="93D07B"/>
              <w:bottom w:val="nil"/>
              <w:right w:val="single" w:sz="4" w:space="0" w:color="93D07B"/>
            </w:tcBorders>
            <w:noWrap/>
            <w:vAlign w:val="bottom"/>
            <w:hideMark/>
          </w:tcPr>
          <w:p w14:paraId="525AF94C" w14:textId="618BDA3C"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52%</w:t>
            </w:r>
          </w:p>
        </w:tc>
        <w:tc>
          <w:tcPr>
            <w:tcW w:w="810" w:type="dxa"/>
            <w:tcBorders>
              <w:top w:val="nil"/>
              <w:left w:val="nil"/>
              <w:bottom w:val="nil"/>
              <w:right w:val="nil"/>
            </w:tcBorders>
            <w:noWrap/>
            <w:vAlign w:val="bottom"/>
            <w:hideMark/>
          </w:tcPr>
          <w:p w14:paraId="071AC110" w14:textId="300E7DBD"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59%</w:t>
            </w:r>
          </w:p>
        </w:tc>
        <w:tc>
          <w:tcPr>
            <w:tcW w:w="759" w:type="dxa"/>
            <w:tcBorders>
              <w:top w:val="nil"/>
              <w:left w:val="single" w:sz="4" w:space="0" w:color="93D07B"/>
              <w:bottom w:val="nil"/>
              <w:right w:val="single" w:sz="4" w:space="0" w:color="93D07B"/>
            </w:tcBorders>
            <w:noWrap/>
            <w:vAlign w:val="bottom"/>
            <w:hideMark/>
          </w:tcPr>
          <w:p w14:paraId="286D3E3B" w14:textId="423E2F9A"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64%</w:t>
            </w:r>
          </w:p>
        </w:tc>
      </w:tr>
      <w:tr w:rsidR="00ED7D41" w:rsidRPr="00116D0B" w14:paraId="5C6BE1CE" w14:textId="77777777" w:rsidTr="00C27173">
        <w:trPr>
          <w:trHeight w:val="290"/>
        </w:trPr>
        <w:tc>
          <w:tcPr>
            <w:tcW w:w="3240" w:type="dxa"/>
            <w:tcBorders>
              <w:top w:val="nil"/>
              <w:left w:val="nil"/>
              <w:bottom w:val="nil"/>
              <w:right w:val="nil"/>
            </w:tcBorders>
            <w:vAlign w:val="bottom"/>
            <w:hideMark/>
          </w:tcPr>
          <w:p w14:paraId="5106A763"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Drama session</w:t>
            </w:r>
          </w:p>
        </w:tc>
        <w:tc>
          <w:tcPr>
            <w:tcW w:w="450" w:type="dxa"/>
            <w:tcBorders>
              <w:top w:val="nil"/>
              <w:left w:val="single" w:sz="4" w:space="0" w:color="93D07B"/>
              <w:bottom w:val="nil"/>
              <w:right w:val="single" w:sz="4" w:space="0" w:color="93D07B"/>
            </w:tcBorders>
            <w:noWrap/>
            <w:vAlign w:val="bottom"/>
            <w:hideMark/>
          </w:tcPr>
          <w:p w14:paraId="0750508B" w14:textId="4659AE4F"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56%</w:t>
            </w:r>
          </w:p>
        </w:tc>
        <w:tc>
          <w:tcPr>
            <w:tcW w:w="720" w:type="dxa"/>
            <w:tcBorders>
              <w:top w:val="nil"/>
              <w:left w:val="nil"/>
              <w:bottom w:val="nil"/>
              <w:right w:val="nil"/>
            </w:tcBorders>
            <w:noWrap/>
            <w:vAlign w:val="bottom"/>
            <w:hideMark/>
          </w:tcPr>
          <w:p w14:paraId="2F2EAB3B" w14:textId="5EBA8917"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58%</w:t>
            </w:r>
          </w:p>
        </w:tc>
        <w:tc>
          <w:tcPr>
            <w:tcW w:w="810" w:type="dxa"/>
            <w:tcBorders>
              <w:top w:val="nil"/>
              <w:left w:val="single" w:sz="4" w:space="0" w:color="93D07B"/>
              <w:bottom w:val="nil"/>
              <w:right w:val="single" w:sz="4" w:space="0" w:color="93D07B"/>
            </w:tcBorders>
            <w:noWrap/>
            <w:vAlign w:val="bottom"/>
            <w:hideMark/>
          </w:tcPr>
          <w:p w14:paraId="2C6BBBE5" w14:textId="2DA85162"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89%</w:t>
            </w:r>
          </w:p>
        </w:tc>
        <w:tc>
          <w:tcPr>
            <w:tcW w:w="720" w:type="dxa"/>
            <w:tcBorders>
              <w:top w:val="nil"/>
              <w:left w:val="nil"/>
              <w:bottom w:val="nil"/>
              <w:right w:val="nil"/>
            </w:tcBorders>
            <w:noWrap/>
            <w:vAlign w:val="bottom"/>
            <w:hideMark/>
          </w:tcPr>
          <w:p w14:paraId="3C140247" w14:textId="15CDE5B6"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38%</w:t>
            </w:r>
          </w:p>
        </w:tc>
        <w:tc>
          <w:tcPr>
            <w:tcW w:w="720" w:type="dxa"/>
            <w:tcBorders>
              <w:top w:val="nil"/>
              <w:left w:val="single" w:sz="4" w:space="0" w:color="93D07B"/>
              <w:bottom w:val="nil"/>
              <w:right w:val="single" w:sz="4" w:space="0" w:color="93D07B"/>
            </w:tcBorders>
            <w:noWrap/>
            <w:vAlign w:val="bottom"/>
            <w:hideMark/>
          </w:tcPr>
          <w:p w14:paraId="66A83F93" w14:textId="622268DB"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46%</w:t>
            </w:r>
          </w:p>
        </w:tc>
        <w:tc>
          <w:tcPr>
            <w:tcW w:w="990" w:type="dxa"/>
            <w:tcBorders>
              <w:top w:val="nil"/>
              <w:left w:val="nil"/>
              <w:bottom w:val="nil"/>
              <w:right w:val="nil"/>
            </w:tcBorders>
            <w:noWrap/>
            <w:vAlign w:val="bottom"/>
            <w:hideMark/>
          </w:tcPr>
          <w:p w14:paraId="5F9BC5D0" w14:textId="5144FAAB"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97%</w:t>
            </w:r>
          </w:p>
        </w:tc>
        <w:tc>
          <w:tcPr>
            <w:tcW w:w="720" w:type="dxa"/>
            <w:tcBorders>
              <w:top w:val="nil"/>
              <w:left w:val="single" w:sz="4" w:space="0" w:color="93D07B"/>
              <w:bottom w:val="nil"/>
              <w:right w:val="single" w:sz="4" w:space="0" w:color="93D07B"/>
            </w:tcBorders>
            <w:noWrap/>
            <w:vAlign w:val="bottom"/>
            <w:hideMark/>
          </w:tcPr>
          <w:p w14:paraId="7600AD7A" w14:textId="7300C9D3"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60%</w:t>
            </w:r>
          </w:p>
        </w:tc>
        <w:tc>
          <w:tcPr>
            <w:tcW w:w="810" w:type="dxa"/>
            <w:tcBorders>
              <w:top w:val="nil"/>
              <w:left w:val="nil"/>
              <w:bottom w:val="nil"/>
              <w:right w:val="nil"/>
            </w:tcBorders>
            <w:noWrap/>
            <w:vAlign w:val="bottom"/>
            <w:hideMark/>
          </w:tcPr>
          <w:p w14:paraId="130C1743" w14:textId="7055A040"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41%</w:t>
            </w:r>
          </w:p>
        </w:tc>
        <w:tc>
          <w:tcPr>
            <w:tcW w:w="759" w:type="dxa"/>
            <w:tcBorders>
              <w:top w:val="nil"/>
              <w:left w:val="single" w:sz="4" w:space="0" w:color="93D07B"/>
              <w:bottom w:val="nil"/>
              <w:right w:val="single" w:sz="4" w:space="0" w:color="93D07B"/>
            </w:tcBorders>
            <w:noWrap/>
            <w:vAlign w:val="bottom"/>
            <w:hideMark/>
          </w:tcPr>
          <w:p w14:paraId="51E51538" w14:textId="17BB95D4"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62%</w:t>
            </w:r>
          </w:p>
        </w:tc>
      </w:tr>
      <w:tr w:rsidR="00ED7D41" w:rsidRPr="00116D0B" w14:paraId="39A88040" w14:textId="77777777" w:rsidTr="00C27173">
        <w:trPr>
          <w:trHeight w:val="590"/>
        </w:trPr>
        <w:tc>
          <w:tcPr>
            <w:tcW w:w="3240" w:type="dxa"/>
            <w:tcBorders>
              <w:top w:val="nil"/>
              <w:left w:val="nil"/>
              <w:bottom w:val="single" w:sz="8" w:space="0" w:color="549E39"/>
              <w:right w:val="nil"/>
            </w:tcBorders>
            <w:vAlign w:val="bottom"/>
            <w:hideMark/>
          </w:tcPr>
          <w:p w14:paraId="31C27B39" w14:textId="77777777" w:rsidR="00ED7D41" w:rsidRPr="00116D0B" w:rsidRDefault="00ED7D41" w:rsidP="00ED7D41">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Engaging in some physical activities</w:t>
            </w:r>
          </w:p>
        </w:tc>
        <w:tc>
          <w:tcPr>
            <w:tcW w:w="450" w:type="dxa"/>
            <w:tcBorders>
              <w:top w:val="nil"/>
              <w:left w:val="single" w:sz="4" w:space="0" w:color="93D07B"/>
              <w:bottom w:val="single" w:sz="8" w:space="0" w:color="549E39"/>
              <w:right w:val="single" w:sz="4" w:space="0" w:color="93D07B"/>
            </w:tcBorders>
            <w:noWrap/>
            <w:vAlign w:val="bottom"/>
            <w:hideMark/>
          </w:tcPr>
          <w:p w14:paraId="0CFDF5F4" w14:textId="62A1B76E"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76%</w:t>
            </w:r>
          </w:p>
        </w:tc>
        <w:tc>
          <w:tcPr>
            <w:tcW w:w="720" w:type="dxa"/>
            <w:tcBorders>
              <w:top w:val="nil"/>
              <w:left w:val="nil"/>
              <w:bottom w:val="single" w:sz="8" w:space="0" w:color="549E39"/>
              <w:right w:val="nil"/>
            </w:tcBorders>
            <w:noWrap/>
            <w:vAlign w:val="bottom"/>
            <w:hideMark/>
          </w:tcPr>
          <w:p w14:paraId="05D1469E" w14:textId="2F1A67E9"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58%</w:t>
            </w:r>
          </w:p>
        </w:tc>
        <w:tc>
          <w:tcPr>
            <w:tcW w:w="810" w:type="dxa"/>
            <w:tcBorders>
              <w:top w:val="nil"/>
              <w:left w:val="single" w:sz="4" w:space="0" w:color="93D07B"/>
              <w:bottom w:val="single" w:sz="8" w:space="0" w:color="549E39"/>
              <w:right w:val="single" w:sz="4" w:space="0" w:color="93D07B"/>
            </w:tcBorders>
            <w:noWrap/>
            <w:vAlign w:val="bottom"/>
            <w:hideMark/>
          </w:tcPr>
          <w:p w14:paraId="488EDEFC" w14:textId="64718410"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82%</w:t>
            </w:r>
          </w:p>
        </w:tc>
        <w:tc>
          <w:tcPr>
            <w:tcW w:w="720" w:type="dxa"/>
            <w:tcBorders>
              <w:top w:val="nil"/>
              <w:left w:val="nil"/>
              <w:bottom w:val="single" w:sz="8" w:space="0" w:color="549E39"/>
              <w:right w:val="nil"/>
            </w:tcBorders>
            <w:noWrap/>
            <w:vAlign w:val="bottom"/>
            <w:hideMark/>
          </w:tcPr>
          <w:p w14:paraId="2C0D3D3E" w14:textId="5DF6F8CD"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51%</w:t>
            </w:r>
          </w:p>
        </w:tc>
        <w:tc>
          <w:tcPr>
            <w:tcW w:w="720" w:type="dxa"/>
            <w:tcBorders>
              <w:top w:val="nil"/>
              <w:left w:val="single" w:sz="4" w:space="0" w:color="93D07B"/>
              <w:bottom w:val="single" w:sz="8" w:space="0" w:color="549E39"/>
              <w:right w:val="single" w:sz="4" w:space="0" w:color="93D07B"/>
            </w:tcBorders>
            <w:noWrap/>
            <w:vAlign w:val="bottom"/>
            <w:hideMark/>
          </w:tcPr>
          <w:p w14:paraId="12F3493F" w14:textId="1577124A"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31%</w:t>
            </w:r>
          </w:p>
        </w:tc>
        <w:tc>
          <w:tcPr>
            <w:tcW w:w="990" w:type="dxa"/>
            <w:tcBorders>
              <w:top w:val="nil"/>
              <w:left w:val="nil"/>
              <w:bottom w:val="single" w:sz="8" w:space="0" w:color="549E39"/>
              <w:right w:val="nil"/>
            </w:tcBorders>
            <w:noWrap/>
            <w:vAlign w:val="bottom"/>
            <w:hideMark/>
          </w:tcPr>
          <w:p w14:paraId="1A4DA193" w14:textId="2D1A4CBB"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97%</w:t>
            </w:r>
          </w:p>
        </w:tc>
        <w:tc>
          <w:tcPr>
            <w:tcW w:w="720" w:type="dxa"/>
            <w:tcBorders>
              <w:top w:val="nil"/>
              <w:left w:val="single" w:sz="4" w:space="0" w:color="93D07B"/>
              <w:bottom w:val="single" w:sz="8" w:space="0" w:color="549E39"/>
              <w:right w:val="single" w:sz="4" w:space="0" w:color="93D07B"/>
            </w:tcBorders>
            <w:noWrap/>
            <w:vAlign w:val="bottom"/>
            <w:hideMark/>
          </w:tcPr>
          <w:p w14:paraId="2F3C33E9" w14:textId="10583E31"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52%</w:t>
            </w:r>
          </w:p>
        </w:tc>
        <w:tc>
          <w:tcPr>
            <w:tcW w:w="810" w:type="dxa"/>
            <w:tcBorders>
              <w:top w:val="nil"/>
              <w:left w:val="nil"/>
              <w:bottom w:val="single" w:sz="8" w:space="0" w:color="549E39"/>
              <w:right w:val="nil"/>
            </w:tcBorders>
            <w:noWrap/>
            <w:vAlign w:val="bottom"/>
            <w:hideMark/>
          </w:tcPr>
          <w:p w14:paraId="33A02B44" w14:textId="2B7FBAE5"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15%</w:t>
            </w:r>
          </w:p>
        </w:tc>
        <w:tc>
          <w:tcPr>
            <w:tcW w:w="759" w:type="dxa"/>
            <w:tcBorders>
              <w:top w:val="nil"/>
              <w:left w:val="single" w:sz="4" w:space="0" w:color="93D07B"/>
              <w:bottom w:val="single" w:sz="8" w:space="0" w:color="549E39"/>
              <w:right w:val="single" w:sz="4" w:space="0" w:color="93D07B"/>
            </w:tcBorders>
            <w:noWrap/>
            <w:vAlign w:val="bottom"/>
            <w:hideMark/>
          </w:tcPr>
          <w:p w14:paraId="22A89D55" w14:textId="301A6809" w:rsidR="00ED7D41" w:rsidRPr="00ED7D41" w:rsidRDefault="00ED7D41" w:rsidP="00ED7D41">
            <w:pPr>
              <w:widowControl/>
              <w:autoSpaceDE/>
              <w:autoSpaceDN/>
              <w:jc w:val="center"/>
              <w:rPr>
                <w:rFonts w:ascii="Garamond" w:eastAsia="Times New Roman" w:hAnsi="Garamond" w:cs="Calibri"/>
                <w:color w:val="000000"/>
                <w:sz w:val="24"/>
                <w:szCs w:val="24"/>
              </w:rPr>
            </w:pPr>
            <w:r w:rsidRPr="00ED7D41">
              <w:rPr>
                <w:rFonts w:ascii="Garamond" w:hAnsi="Garamond" w:cs="Calibri"/>
                <w:color w:val="000000"/>
                <w:sz w:val="24"/>
                <w:szCs w:val="24"/>
              </w:rPr>
              <w:t>59%</w:t>
            </w:r>
          </w:p>
        </w:tc>
      </w:tr>
    </w:tbl>
    <w:p w14:paraId="0CA79C50" w14:textId="69C92DC5"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 xml:space="preserve">Regarding limitations to participation in the CDP session workshop, the majority (93.9%) of respondents reported not experiencing any limitations. However, some participants reported specific challenges: 2.2% felt they were not given the opportunity to speak, 1.9% cited language barriers, and 0.6% of women reported feeling less comfortable speaking up due to gender dynamics. These findings suggest that while overall participation was high, there are still </w:t>
      </w:r>
      <w:r w:rsidR="00F5750D">
        <w:rPr>
          <w:rFonts w:ascii="Garamond" w:eastAsia="Calibri" w:hAnsi="Garamond" w:cs="Calibri"/>
          <w:sz w:val="24"/>
          <w:szCs w:val="24"/>
        </w:rPr>
        <w:t xml:space="preserve">minor </w:t>
      </w:r>
      <w:r w:rsidRPr="00116D0B">
        <w:rPr>
          <w:rFonts w:ascii="Garamond" w:eastAsia="Calibri" w:hAnsi="Garamond" w:cs="Calibri"/>
          <w:sz w:val="24"/>
          <w:szCs w:val="24"/>
        </w:rPr>
        <w:t>areas that need attention to ensure more inclusive and equitable engagement</w:t>
      </w:r>
      <w:r w:rsidR="00F5750D">
        <w:rPr>
          <w:rFonts w:ascii="Garamond" w:eastAsia="Calibri" w:hAnsi="Garamond" w:cs="Calibri"/>
          <w:sz w:val="24"/>
          <w:szCs w:val="24"/>
        </w:rPr>
        <w:t>s</w:t>
      </w:r>
      <w:r w:rsidRPr="00116D0B">
        <w:rPr>
          <w:rFonts w:ascii="Garamond" w:eastAsia="Calibri" w:hAnsi="Garamond" w:cs="Calibri"/>
          <w:sz w:val="24"/>
          <w:szCs w:val="24"/>
        </w:rPr>
        <w:t>.</w:t>
      </w:r>
    </w:p>
    <w:p w14:paraId="4D8E5CB3" w14:textId="3994DDAE" w:rsidR="003A1DC2" w:rsidRPr="00116D0B" w:rsidRDefault="003A1DC2" w:rsidP="00C27173">
      <w:pPr>
        <w:pStyle w:val="Caption"/>
      </w:pPr>
      <w:bookmarkStart w:id="76" w:name="_Toc166704042"/>
      <w:r w:rsidRPr="00116D0B">
        <w:lastRenderedPageBreak/>
        <w:t xml:space="preserve">Table </w:t>
      </w:r>
      <w:fldSimple w:instr=" SEQ Table \* ARABIC ">
        <w:r w:rsidR="00116D0B" w:rsidRPr="00116D0B">
          <w:rPr>
            <w:noProof/>
          </w:rPr>
          <w:t>19</w:t>
        </w:r>
      </w:fldSimple>
      <w:r w:rsidRPr="00116D0B">
        <w:t>: Limitations to participation in the CDP sessions</w:t>
      </w:r>
      <w:bookmarkEnd w:id="76"/>
    </w:p>
    <w:tbl>
      <w:tblPr>
        <w:tblW w:w="5000" w:type="pct"/>
        <w:tblLook w:val="04A0" w:firstRow="1" w:lastRow="0" w:firstColumn="1" w:lastColumn="0" w:noHBand="0" w:noVBand="1"/>
      </w:tblPr>
      <w:tblGrid>
        <w:gridCol w:w="2215"/>
        <w:gridCol w:w="804"/>
        <w:gridCol w:w="804"/>
        <w:gridCol w:w="805"/>
        <w:gridCol w:w="916"/>
        <w:gridCol w:w="916"/>
        <w:gridCol w:w="916"/>
        <w:gridCol w:w="805"/>
        <w:gridCol w:w="805"/>
        <w:gridCol w:w="804"/>
      </w:tblGrid>
      <w:tr w:rsidR="003A1DC2" w:rsidRPr="00116D0B" w14:paraId="756ECC64" w14:textId="77777777" w:rsidTr="003A1DC2">
        <w:trPr>
          <w:trHeight w:val="1295"/>
        </w:trPr>
        <w:tc>
          <w:tcPr>
            <w:tcW w:w="1132" w:type="pct"/>
            <w:tcBorders>
              <w:top w:val="single" w:sz="4" w:space="0" w:color="auto"/>
              <w:left w:val="single" w:sz="4" w:space="0" w:color="auto"/>
              <w:bottom w:val="single" w:sz="4" w:space="0" w:color="auto"/>
              <w:right w:val="single" w:sz="4" w:space="0" w:color="auto"/>
            </w:tcBorders>
            <w:shd w:val="clear" w:color="auto" w:fill="449E46"/>
            <w:vAlign w:val="bottom"/>
            <w:hideMark/>
          </w:tcPr>
          <w:p w14:paraId="4B7BE22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What limited your participation?</w:t>
            </w:r>
          </w:p>
        </w:tc>
        <w:tc>
          <w:tcPr>
            <w:tcW w:w="411"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6AA0852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11"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2B211AD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11"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00F4C4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68"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55EDECA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239D7B1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6B8918A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11"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0584521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11"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404EA48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11" w:type="pct"/>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240BD81E"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32C920A3" w14:textId="77777777" w:rsidTr="003A1DC2">
        <w:trPr>
          <w:trHeight w:val="300"/>
        </w:trPr>
        <w:tc>
          <w:tcPr>
            <w:tcW w:w="1132" w:type="pct"/>
            <w:tcBorders>
              <w:top w:val="single" w:sz="4" w:space="0" w:color="auto"/>
              <w:left w:val="single" w:sz="4" w:space="0" w:color="auto"/>
              <w:bottom w:val="single" w:sz="4" w:space="0" w:color="auto"/>
              <w:right w:val="single" w:sz="4" w:space="0" w:color="auto"/>
            </w:tcBorders>
            <w:noWrap/>
            <w:vAlign w:val="bottom"/>
            <w:hideMark/>
          </w:tcPr>
          <w:p w14:paraId="36A3FBD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 limitations</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C00FC9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97.1%</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CE7CB8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84.0%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377F89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97.7%</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6C88D76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8BC71B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064727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388752E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85.1%</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3A838F4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92.9%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41C753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93.9%</w:t>
            </w:r>
          </w:p>
        </w:tc>
      </w:tr>
      <w:tr w:rsidR="003A1DC2" w:rsidRPr="00116D0B" w14:paraId="50CC9DE6" w14:textId="77777777" w:rsidTr="003A1DC2">
        <w:trPr>
          <w:trHeight w:val="600"/>
        </w:trPr>
        <w:tc>
          <w:tcPr>
            <w:tcW w:w="1132" w:type="pct"/>
            <w:tcBorders>
              <w:top w:val="single" w:sz="4" w:space="0" w:color="auto"/>
              <w:left w:val="single" w:sz="4" w:space="0" w:color="auto"/>
              <w:bottom w:val="single" w:sz="4" w:space="0" w:color="auto"/>
              <w:right w:val="single" w:sz="4" w:space="0" w:color="auto"/>
            </w:tcBorders>
            <w:vAlign w:val="bottom"/>
            <w:hideMark/>
          </w:tcPr>
          <w:p w14:paraId="68F5D16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 was not given opportunity to speak</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396F1B2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7670C27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EE1244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7E39718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7CC67CD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65B1760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4094CC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3D403A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079DEE5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w:t>
            </w:r>
          </w:p>
        </w:tc>
      </w:tr>
      <w:tr w:rsidR="003A1DC2" w:rsidRPr="00116D0B" w14:paraId="6ECDF280" w14:textId="77777777" w:rsidTr="003A1DC2">
        <w:trPr>
          <w:trHeight w:val="300"/>
        </w:trPr>
        <w:tc>
          <w:tcPr>
            <w:tcW w:w="1132" w:type="pct"/>
            <w:tcBorders>
              <w:top w:val="single" w:sz="4" w:space="0" w:color="auto"/>
              <w:left w:val="single" w:sz="4" w:space="0" w:color="auto"/>
              <w:bottom w:val="single" w:sz="4" w:space="0" w:color="auto"/>
              <w:right w:val="single" w:sz="4" w:space="0" w:color="auto"/>
            </w:tcBorders>
            <w:noWrap/>
            <w:vAlign w:val="bottom"/>
            <w:hideMark/>
          </w:tcPr>
          <w:p w14:paraId="54D25FC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Language</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5B19D0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9E2DF4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7F9D762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6CB50B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0E4A1D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6E21D71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345CF0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824C7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60CA97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r>
      <w:tr w:rsidR="003A1DC2" w:rsidRPr="00116D0B" w14:paraId="32C06379" w14:textId="77777777" w:rsidTr="003A1DC2">
        <w:trPr>
          <w:trHeight w:val="300"/>
        </w:trPr>
        <w:tc>
          <w:tcPr>
            <w:tcW w:w="1132" w:type="pct"/>
            <w:tcBorders>
              <w:top w:val="single" w:sz="4" w:space="0" w:color="auto"/>
              <w:left w:val="single" w:sz="4" w:space="0" w:color="auto"/>
              <w:bottom w:val="single" w:sz="4" w:space="0" w:color="auto"/>
              <w:right w:val="single" w:sz="4" w:space="0" w:color="auto"/>
            </w:tcBorders>
            <w:vAlign w:val="bottom"/>
            <w:hideMark/>
          </w:tcPr>
          <w:p w14:paraId="6DDD022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 don’t know what to say</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2A84A2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1D3114E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7EFCBD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4107B5E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FD957D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300B006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311A9B6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4C966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1D75295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5F0BC594" w14:textId="77777777" w:rsidTr="003A1DC2">
        <w:trPr>
          <w:trHeight w:val="900"/>
        </w:trPr>
        <w:tc>
          <w:tcPr>
            <w:tcW w:w="1132" w:type="pct"/>
            <w:tcBorders>
              <w:top w:val="single" w:sz="4" w:space="0" w:color="auto"/>
              <w:left w:val="single" w:sz="4" w:space="0" w:color="auto"/>
              <w:bottom w:val="single" w:sz="4" w:space="0" w:color="auto"/>
              <w:right w:val="single" w:sz="4" w:space="0" w:color="auto"/>
            </w:tcBorders>
            <w:vAlign w:val="bottom"/>
            <w:hideMark/>
          </w:tcPr>
          <w:p w14:paraId="19B4E38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As a woman, I didn’t feel like I could say as much as other participants</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B88E82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E3F695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1B9703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0212FBF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2D593AF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53375EA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0E3756D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7C0AF04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AB00D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0.6%</w:t>
            </w:r>
          </w:p>
        </w:tc>
      </w:tr>
      <w:tr w:rsidR="003A1DC2" w:rsidRPr="00116D0B" w14:paraId="004F078B" w14:textId="77777777" w:rsidTr="003A1DC2">
        <w:trPr>
          <w:trHeight w:val="300"/>
        </w:trPr>
        <w:tc>
          <w:tcPr>
            <w:tcW w:w="1132" w:type="pct"/>
            <w:tcBorders>
              <w:top w:val="single" w:sz="4" w:space="0" w:color="auto"/>
              <w:left w:val="single" w:sz="4" w:space="0" w:color="auto"/>
              <w:bottom w:val="single" w:sz="4" w:space="0" w:color="auto"/>
              <w:right w:val="single" w:sz="4" w:space="0" w:color="auto"/>
            </w:tcBorders>
            <w:noWrap/>
            <w:vAlign w:val="bottom"/>
            <w:hideMark/>
          </w:tcPr>
          <w:p w14:paraId="61A7A84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Other</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77EF08F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83740B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6ABAC92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1AC3D61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65F983B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303F601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0A5562C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08BBA77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214500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r w:rsidR="003A1DC2" w:rsidRPr="00116D0B" w14:paraId="390C9B17" w14:textId="77777777" w:rsidTr="003A1DC2">
        <w:trPr>
          <w:trHeight w:val="615"/>
        </w:trPr>
        <w:tc>
          <w:tcPr>
            <w:tcW w:w="1132" w:type="pct"/>
            <w:tcBorders>
              <w:top w:val="single" w:sz="4" w:space="0" w:color="auto"/>
              <w:left w:val="single" w:sz="4" w:space="0" w:color="auto"/>
              <w:bottom w:val="single" w:sz="4" w:space="0" w:color="auto"/>
              <w:right w:val="single" w:sz="4" w:space="0" w:color="auto"/>
            </w:tcBorders>
            <w:vAlign w:val="bottom"/>
            <w:hideMark/>
          </w:tcPr>
          <w:p w14:paraId="72E121A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 don’t like talking in the public gathering</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1D512C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63E685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4335716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744B4A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076EC21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68" w:type="pct"/>
            <w:tcBorders>
              <w:top w:val="single" w:sz="4" w:space="0" w:color="auto"/>
              <w:left w:val="single" w:sz="4" w:space="0" w:color="auto"/>
              <w:bottom w:val="single" w:sz="4" w:space="0" w:color="auto"/>
              <w:right w:val="single" w:sz="4" w:space="0" w:color="auto"/>
            </w:tcBorders>
            <w:noWrap/>
            <w:vAlign w:val="bottom"/>
            <w:hideMark/>
          </w:tcPr>
          <w:p w14:paraId="3F19D7D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5D79E58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867ACD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w:t>
            </w:r>
          </w:p>
        </w:tc>
        <w:tc>
          <w:tcPr>
            <w:tcW w:w="411" w:type="pct"/>
            <w:tcBorders>
              <w:top w:val="single" w:sz="4" w:space="0" w:color="auto"/>
              <w:left w:val="single" w:sz="4" w:space="0" w:color="auto"/>
              <w:bottom w:val="single" w:sz="4" w:space="0" w:color="auto"/>
              <w:right w:val="single" w:sz="4" w:space="0" w:color="auto"/>
            </w:tcBorders>
            <w:noWrap/>
            <w:vAlign w:val="bottom"/>
            <w:hideMark/>
          </w:tcPr>
          <w:p w14:paraId="2C5E4F1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0.3%</w:t>
            </w:r>
          </w:p>
        </w:tc>
      </w:tr>
    </w:tbl>
    <w:p w14:paraId="3CDD1229" w14:textId="729F5C0F"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 xml:space="preserve">The evaluation </w:t>
      </w:r>
      <w:r w:rsidR="0065164D" w:rsidRPr="00116D0B">
        <w:rPr>
          <w:rFonts w:ascii="Garamond" w:eastAsia="Calibri" w:hAnsi="Garamond" w:cs="Calibri"/>
          <w:sz w:val="24"/>
          <w:szCs w:val="24"/>
        </w:rPr>
        <w:t>also</w:t>
      </w:r>
      <w:r w:rsidRPr="00116D0B">
        <w:rPr>
          <w:rFonts w:ascii="Garamond" w:eastAsia="Calibri" w:hAnsi="Garamond" w:cs="Calibri"/>
          <w:sz w:val="24"/>
          <w:szCs w:val="24"/>
        </w:rPr>
        <w:t xml:space="preserve"> examined the respondents' level of satisfaction with the CDP sessions. Findings from the endline survey suggest a positive experience for most participants. Overall, a significant majority of the participants (98.1%) reported being satisfied with the CDP session workshop. Specifically, 59.8% of respondents reported being very satisfied, while 38.3% reported being satisfied when asked about their overall level of satisfaction. These results indicate a high level of approval and positive reception of the CDP sessions among participants. See table 20 for the disaggregation of the findings by ward and gender.</w:t>
      </w:r>
    </w:p>
    <w:p w14:paraId="04B9ED73" w14:textId="4FC3FAB8" w:rsidR="003A1DC2" w:rsidRPr="00116D0B" w:rsidRDefault="003A1DC2" w:rsidP="00C27173">
      <w:pPr>
        <w:pStyle w:val="Caption"/>
      </w:pPr>
      <w:bookmarkStart w:id="77" w:name="_Toc166704043"/>
      <w:r w:rsidRPr="00116D0B">
        <w:t xml:space="preserve">Table </w:t>
      </w:r>
      <w:fldSimple w:instr=" SEQ Table \* ARABIC ">
        <w:r w:rsidR="00116D0B" w:rsidRPr="00116D0B">
          <w:rPr>
            <w:noProof/>
          </w:rPr>
          <w:t>20</w:t>
        </w:r>
      </w:fldSimple>
      <w:r w:rsidRPr="00116D0B">
        <w:t>: Level of satisfaction with the CDP session</w:t>
      </w:r>
      <w:bookmarkEnd w:id="77"/>
    </w:p>
    <w:tbl>
      <w:tblPr>
        <w:tblW w:w="5099" w:type="pct"/>
        <w:tblLook w:val="04A0" w:firstRow="1" w:lastRow="0" w:firstColumn="1" w:lastColumn="0" w:noHBand="0" w:noVBand="1"/>
      </w:tblPr>
      <w:tblGrid>
        <w:gridCol w:w="2114"/>
        <w:gridCol w:w="844"/>
        <w:gridCol w:w="842"/>
        <w:gridCol w:w="842"/>
        <w:gridCol w:w="212"/>
        <w:gridCol w:w="631"/>
        <w:gridCol w:w="843"/>
        <w:gridCol w:w="92"/>
        <w:gridCol w:w="921"/>
        <w:gridCol w:w="645"/>
        <w:gridCol w:w="298"/>
        <w:gridCol w:w="849"/>
        <w:gridCol w:w="851"/>
      </w:tblGrid>
      <w:tr w:rsidR="003A1DC2" w:rsidRPr="00116D0B" w14:paraId="54753A88" w14:textId="77777777" w:rsidTr="003A1DC2">
        <w:trPr>
          <w:trHeight w:val="1340"/>
        </w:trPr>
        <w:tc>
          <w:tcPr>
            <w:tcW w:w="1059" w:type="pct"/>
            <w:tcBorders>
              <w:top w:val="single" w:sz="4" w:space="0" w:color="auto"/>
              <w:left w:val="single" w:sz="4" w:space="0" w:color="auto"/>
              <w:bottom w:val="single" w:sz="4" w:space="0" w:color="auto"/>
              <w:right w:val="single" w:sz="4" w:space="0" w:color="auto"/>
            </w:tcBorders>
            <w:shd w:val="clear" w:color="auto" w:fill="449E46"/>
            <w:vAlign w:val="bottom"/>
            <w:hideMark/>
          </w:tcPr>
          <w:p w14:paraId="6F29FC8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How satisfied are you with the CDP session overall?</w:t>
            </w:r>
          </w:p>
        </w:tc>
        <w:tc>
          <w:tcPr>
            <w:tcW w:w="423"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8C9D8A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22" w:type="pct"/>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32886FA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22" w:type="pct"/>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372F56D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22" w:type="pct"/>
            <w:gridSpan w:val="2"/>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2E2370C4"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22" w:type="pct"/>
            <w:tcBorders>
              <w:top w:val="single" w:sz="4" w:space="0" w:color="auto"/>
              <w:left w:val="single" w:sz="4" w:space="0" w:color="auto"/>
              <w:bottom w:val="single" w:sz="4" w:space="0" w:color="auto"/>
              <w:right w:val="single" w:sz="4" w:space="0" w:color="auto"/>
            </w:tcBorders>
            <w:shd w:val="clear" w:color="auto" w:fill="449E46"/>
            <w:noWrap/>
            <w:textDirection w:val="btLr"/>
            <w:vAlign w:val="bottom"/>
            <w:hideMark/>
          </w:tcPr>
          <w:p w14:paraId="20A9CFF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507" w:type="pct"/>
            <w:gridSpan w:val="2"/>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2D9B27FE"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72" w:type="pct"/>
            <w:gridSpan w:val="2"/>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345A1424"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25" w:type="pct"/>
            <w:tcBorders>
              <w:top w:val="single" w:sz="4" w:space="0" w:color="auto"/>
              <w:left w:val="single" w:sz="4" w:space="0" w:color="auto"/>
              <w:bottom w:val="single" w:sz="4" w:space="0" w:color="auto"/>
              <w:right w:val="single" w:sz="4" w:space="0" w:color="auto"/>
            </w:tcBorders>
            <w:shd w:val="clear" w:color="auto" w:fill="449E46"/>
            <w:textDirection w:val="btLr"/>
            <w:vAlign w:val="bottom"/>
            <w:hideMark/>
          </w:tcPr>
          <w:p w14:paraId="7EC36CE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26" w:type="pct"/>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2A35291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0D4FAC81" w14:textId="77777777" w:rsidTr="003A1DC2">
        <w:trPr>
          <w:trHeight w:val="300"/>
        </w:trPr>
        <w:tc>
          <w:tcPr>
            <w:tcW w:w="1059" w:type="pct"/>
            <w:tcBorders>
              <w:top w:val="single" w:sz="4" w:space="0" w:color="auto"/>
              <w:left w:val="single" w:sz="4" w:space="0" w:color="auto"/>
              <w:bottom w:val="single" w:sz="4" w:space="0" w:color="auto"/>
              <w:right w:val="single" w:sz="4" w:space="0" w:color="auto"/>
            </w:tcBorders>
            <w:noWrap/>
            <w:vAlign w:val="bottom"/>
            <w:hideMark/>
          </w:tcPr>
          <w:p w14:paraId="3053469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satisfied</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05C7671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58.8%</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4DC9E61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54.2%</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558C13C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59.1%</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79DFD84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59.5%</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1B7979A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57.1%</w:t>
            </w:r>
          </w:p>
        </w:tc>
        <w:tc>
          <w:tcPr>
            <w:tcW w:w="507" w:type="pct"/>
            <w:gridSpan w:val="2"/>
            <w:tcBorders>
              <w:top w:val="single" w:sz="4" w:space="0" w:color="auto"/>
              <w:left w:val="single" w:sz="4" w:space="0" w:color="auto"/>
              <w:bottom w:val="single" w:sz="4" w:space="0" w:color="auto"/>
              <w:right w:val="single" w:sz="4" w:space="0" w:color="auto"/>
            </w:tcBorders>
            <w:noWrap/>
            <w:vAlign w:val="bottom"/>
            <w:hideMark/>
          </w:tcPr>
          <w:p w14:paraId="1E3CF5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73.0%</w:t>
            </w:r>
          </w:p>
        </w:tc>
        <w:tc>
          <w:tcPr>
            <w:tcW w:w="472" w:type="pct"/>
            <w:gridSpan w:val="2"/>
            <w:tcBorders>
              <w:top w:val="single" w:sz="4" w:space="0" w:color="auto"/>
              <w:left w:val="single" w:sz="4" w:space="0" w:color="auto"/>
              <w:bottom w:val="single" w:sz="4" w:space="0" w:color="auto"/>
              <w:right w:val="single" w:sz="4" w:space="0" w:color="auto"/>
            </w:tcBorders>
            <w:noWrap/>
            <w:vAlign w:val="bottom"/>
            <w:hideMark/>
          </w:tcPr>
          <w:p w14:paraId="23ABB64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64.4%</w:t>
            </w:r>
          </w:p>
        </w:tc>
        <w:tc>
          <w:tcPr>
            <w:tcW w:w="425" w:type="pct"/>
            <w:tcBorders>
              <w:top w:val="single" w:sz="4" w:space="0" w:color="auto"/>
              <w:left w:val="single" w:sz="4" w:space="0" w:color="auto"/>
              <w:bottom w:val="single" w:sz="4" w:space="0" w:color="auto"/>
              <w:right w:val="single" w:sz="4" w:space="0" w:color="auto"/>
            </w:tcBorders>
            <w:noWrap/>
            <w:vAlign w:val="bottom"/>
            <w:hideMark/>
          </w:tcPr>
          <w:p w14:paraId="0D7D06E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40.7%</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07FAE5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59.8%</w:t>
            </w:r>
          </w:p>
        </w:tc>
      </w:tr>
      <w:tr w:rsidR="003A1DC2" w:rsidRPr="00116D0B" w14:paraId="072F7B86" w14:textId="77777777" w:rsidTr="003A1DC2">
        <w:trPr>
          <w:trHeight w:val="300"/>
        </w:trPr>
        <w:tc>
          <w:tcPr>
            <w:tcW w:w="1059" w:type="pct"/>
            <w:tcBorders>
              <w:top w:val="single" w:sz="4" w:space="0" w:color="auto"/>
              <w:left w:val="single" w:sz="4" w:space="0" w:color="auto"/>
              <w:bottom w:val="single" w:sz="4" w:space="0" w:color="auto"/>
              <w:right w:val="single" w:sz="4" w:space="0" w:color="auto"/>
            </w:tcBorders>
            <w:noWrap/>
            <w:vAlign w:val="bottom"/>
            <w:hideMark/>
          </w:tcPr>
          <w:p w14:paraId="4499782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Satisfied</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4EA2445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41.2%</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4225440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33.3%</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2AAEB84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40.9%</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0BDF399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40.5%</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0DB0C3C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42.9%</w:t>
            </w:r>
          </w:p>
        </w:tc>
        <w:tc>
          <w:tcPr>
            <w:tcW w:w="507" w:type="pct"/>
            <w:gridSpan w:val="2"/>
            <w:tcBorders>
              <w:top w:val="single" w:sz="4" w:space="0" w:color="auto"/>
              <w:left w:val="single" w:sz="4" w:space="0" w:color="auto"/>
              <w:bottom w:val="single" w:sz="4" w:space="0" w:color="auto"/>
              <w:right w:val="single" w:sz="4" w:space="0" w:color="auto"/>
            </w:tcBorders>
            <w:noWrap/>
            <w:vAlign w:val="bottom"/>
            <w:hideMark/>
          </w:tcPr>
          <w:p w14:paraId="51544B9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27.0%</w:t>
            </w:r>
          </w:p>
        </w:tc>
        <w:tc>
          <w:tcPr>
            <w:tcW w:w="472" w:type="pct"/>
            <w:gridSpan w:val="2"/>
            <w:tcBorders>
              <w:top w:val="single" w:sz="4" w:space="0" w:color="auto"/>
              <w:left w:val="single" w:sz="4" w:space="0" w:color="auto"/>
              <w:bottom w:val="single" w:sz="4" w:space="0" w:color="auto"/>
              <w:right w:val="single" w:sz="4" w:space="0" w:color="auto"/>
            </w:tcBorders>
            <w:noWrap/>
            <w:vAlign w:val="bottom"/>
            <w:hideMark/>
          </w:tcPr>
          <w:p w14:paraId="29E3C71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31.5%</w:t>
            </w:r>
          </w:p>
        </w:tc>
        <w:tc>
          <w:tcPr>
            <w:tcW w:w="425" w:type="pct"/>
            <w:tcBorders>
              <w:top w:val="single" w:sz="4" w:space="0" w:color="auto"/>
              <w:left w:val="single" w:sz="4" w:space="0" w:color="auto"/>
              <w:bottom w:val="single" w:sz="4" w:space="0" w:color="auto"/>
              <w:right w:val="single" w:sz="4" w:space="0" w:color="auto"/>
            </w:tcBorders>
            <w:noWrap/>
            <w:vAlign w:val="bottom"/>
            <w:hideMark/>
          </w:tcPr>
          <w:p w14:paraId="2259161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59.3%</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4EB169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38.3%</w:t>
            </w:r>
          </w:p>
        </w:tc>
      </w:tr>
      <w:tr w:rsidR="003A1DC2" w:rsidRPr="00116D0B" w14:paraId="0DE42FD7" w14:textId="77777777" w:rsidTr="003A1DC2">
        <w:trPr>
          <w:trHeight w:val="315"/>
        </w:trPr>
        <w:tc>
          <w:tcPr>
            <w:tcW w:w="1059" w:type="pct"/>
            <w:tcBorders>
              <w:top w:val="single" w:sz="4" w:space="0" w:color="auto"/>
              <w:left w:val="single" w:sz="4" w:space="0" w:color="auto"/>
              <w:bottom w:val="single" w:sz="4" w:space="0" w:color="auto"/>
              <w:right w:val="single" w:sz="4" w:space="0" w:color="auto"/>
            </w:tcBorders>
            <w:noWrap/>
            <w:vAlign w:val="bottom"/>
            <w:hideMark/>
          </w:tcPr>
          <w:p w14:paraId="43A272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unsatisfied</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4A0453B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230D568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51BC220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3971280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tcBorders>
              <w:top w:val="single" w:sz="4" w:space="0" w:color="auto"/>
              <w:left w:val="single" w:sz="4" w:space="0" w:color="auto"/>
              <w:bottom w:val="single" w:sz="4" w:space="0" w:color="auto"/>
              <w:right w:val="single" w:sz="4" w:space="0" w:color="auto"/>
            </w:tcBorders>
            <w:noWrap/>
            <w:vAlign w:val="bottom"/>
            <w:hideMark/>
          </w:tcPr>
          <w:p w14:paraId="451865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07" w:type="pct"/>
            <w:gridSpan w:val="2"/>
            <w:tcBorders>
              <w:top w:val="single" w:sz="4" w:space="0" w:color="auto"/>
              <w:left w:val="single" w:sz="4" w:space="0" w:color="auto"/>
              <w:bottom w:val="single" w:sz="4" w:space="0" w:color="auto"/>
              <w:right w:val="single" w:sz="4" w:space="0" w:color="auto"/>
            </w:tcBorders>
            <w:noWrap/>
            <w:vAlign w:val="bottom"/>
            <w:hideMark/>
          </w:tcPr>
          <w:p w14:paraId="53EFA0F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72" w:type="pct"/>
            <w:gridSpan w:val="2"/>
            <w:tcBorders>
              <w:top w:val="single" w:sz="4" w:space="0" w:color="auto"/>
              <w:left w:val="single" w:sz="4" w:space="0" w:color="auto"/>
              <w:bottom w:val="single" w:sz="4" w:space="0" w:color="auto"/>
              <w:right w:val="single" w:sz="4" w:space="0" w:color="auto"/>
            </w:tcBorders>
            <w:noWrap/>
            <w:vAlign w:val="bottom"/>
            <w:hideMark/>
          </w:tcPr>
          <w:p w14:paraId="2AFEB6C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w:t>
            </w:r>
          </w:p>
        </w:tc>
        <w:tc>
          <w:tcPr>
            <w:tcW w:w="425" w:type="pct"/>
            <w:tcBorders>
              <w:top w:val="single" w:sz="4" w:space="0" w:color="auto"/>
              <w:left w:val="single" w:sz="4" w:space="0" w:color="auto"/>
              <w:bottom w:val="single" w:sz="4" w:space="0" w:color="auto"/>
              <w:right w:val="single" w:sz="4" w:space="0" w:color="auto"/>
            </w:tcBorders>
            <w:noWrap/>
            <w:vAlign w:val="bottom"/>
            <w:hideMark/>
          </w:tcPr>
          <w:p w14:paraId="08B635E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513F8BD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r>
      <w:tr w:rsidR="003A1DC2" w:rsidRPr="00116D0B" w14:paraId="0531264D" w14:textId="77777777" w:rsidTr="003A1DC2">
        <w:trPr>
          <w:trHeight w:val="665"/>
        </w:trPr>
        <w:tc>
          <w:tcPr>
            <w:tcW w:w="2432" w:type="pct"/>
            <w:gridSpan w:val="5"/>
            <w:tcBorders>
              <w:top w:val="single" w:sz="4" w:space="0" w:color="auto"/>
              <w:left w:val="single" w:sz="4" w:space="0" w:color="auto"/>
              <w:bottom w:val="single" w:sz="4" w:space="0" w:color="auto"/>
              <w:right w:val="single" w:sz="4" w:space="0" w:color="auto"/>
            </w:tcBorders>
            <w:shd w:val="clear" w:color="auto" w:fill="449E46"/>
            <w:vAlign w:val="bottom"/>
            <w:hideMark/>
          </w:tcPr>
          <w:p w14:paraId="060C0D3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Do you agree that participation and interaction was encouraged during the CDP session workshop?</w:t>
            </w:r>
          </w:p>
        </w:tc>
        <w:tc>
          <w:tcPr>
            <w:tcW w:w="784" w:type="pct"/>
            <w:gridSpan w:val="3"/>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1762F29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784" w:type="pct"/>
            <w:gridSpan w:val="2"/>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4A01198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000" w:type="pct"/>
            <w:gridSpan w:val="3"/>
            <w:tcBorders>
              <w:top w:val="single" w:sz="4" w:space="0" w:color="auto"/>
              <w:left w:val="single" w:sz="4" w:space="0" w:color="auto"/>
              <w:bottom w:val="single" w:sz="4" w:space="0" w:color="auto"/>
              <w:right w:val="single" w:sz="4" w:space="0" w:color="auto"/>
            </w:tcBorders>
            <w:shd w:val="clear" w:color="auto" w:fill="449E46"/>
            <w:noWrap/>
            <w:vAlign w:val="bottom"/>
            <w:hideMark/>
          </w:tcPr>
          <w:p w14:paraId="273DB40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1EB5DC23" w14:textId="77777777" w:rsidTr="003A1DC2">
        <w:trPr>
          <w:trHeight w:val="300"/>
        </w:trPr>
        <w:tc>
          <w:tcPr>
            <w:tcW w:w="2432" w:type="pct"/>
            <w:gridSpan w:val="5"/>
            <w:tcBorders>
              <w:top w:val="single" w:sz="4" w:space="0" w:color="auto"/>
              <w:left w:val="single" w:sz="4" w:space="0" w:color="auto"/>
              <w:bottom w:val="single" w:sz="4" w:space="0" w:color="auto"/>
              <w:right w:val="single" w:sz="4" w:space="0" w:color="auto"/>
            </w:tcBorders>
            <w:noWrap/>
            <w:vAlign w:val="bottom"/>
            <w:hideMark/>
          </w:tcPr>
          <w:p w14:paraId="499707B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Satisfied</w:t>
            </w:r>
          </w:p>
        </w:tc>
        <w:tc>
          <w:tcPr>
            <w:tcW w:w="784" w:type="pct"/>
            <w:gridSpan w:val="3"/>
            <w:tcBorders>
              <w:top w:val="single" w:sz="4" w:space="0" w:color="auto"/>
              <w:left w:val="single" w:sz="4" w:space="0" w:color="auto"/>
              <w:bottom w:val="single" w:sz="4" w:space="0" w:color="auto"/>
              <w:right w:val="single" w:sz="4" w:space="0" w:color="auto"/>
            </w:tcBorders>
            <w:noWrap/>
            <w:vAlign w:val="bottom"/>
            <w:hideMark/>
          </w:tcPr>
          <w:p w14:paraId="420F52E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42.3%</w:t>
            </w:r>
          </w:p>
        </w:tc>
        <w:tc>
          <w:tcPr>
            <w:tcW w:w="784" w:type="pct"/>
            <w:gridSpan w:val="2"/>
            <w:tcBorders>
              <w:top w:val="single" w:sz="4" w:space="0" w:color="auto"/>
              <w:left w:val="single" w:sz="4" w:space="0" w:color="auto"/>
              <w:bottom w:val="single" w:sz="4" w:space="0" w:color="auto"/>
              <w:right w:val="single" w:sz="4" w:space="0" w:color="auto"/>
            </w:tcBorders>
            <w:noWrap/>
            <w:vAlign w:val="bottom"/>
            <w:hideMark/>
          </w:tcPr>
          <w:p w14:paraId="60ECC2A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34.6%</w:t>
            </w:r>
          </w:p>
        </w:tc>
        <w:tc>
          <w:tcPr>
            <w:tcW w:w="1000" w:type="pct"/>
            <w:gridSpan w:val="3"/>
            <w:tcBorders>
              <w:top w:val="single" w:sz="4" w:space="0" w:color="auto"/>
              <w:left w:val="single" w:sz="4" w:space="0" w:color="auto"/>
              <w:bottom w:val="single" w:sz="4" w:space="0" w:color="auto"/>
              <w:right w:val="single" w:sz="4" w:space="0" w:color="auto"/>
            </w:tcBorders>
            <w:noWrap/>
            <w:vAlign w:val="bottom"/>
            <w:hideMark/>
          </w:tcPr>
          <w:p w14:paraId="75F3A2B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38.3%</w:t>
            </w:r>
          </w:p>
        </w:tc>
      </w:tr>
      <w:tr w:rsidR="003A1DC2" w:rsidRPr="00116D0B" w14:paraId="008F1B6E" w14:textId="77777777" w:rsidTr="003A1DC2">
        <w:trPr>
          <w:trHeight w:val="300"/>
        </w:trPr>
        <w:tc>
          <w:tcPr>
            <w:tcW w:w="2432" w:type="pct"/>
            <w:gridSpan w:val="5"/>
            <w:tcBorders>
              <w:top w:val="single" w:sz="4" w:space="0" w:color="auto"/>
              <w:left w:val="single" w:sz="4" w:space="0" w:color="auto"/>
              <w:bottom w:val="single" w:sz="4" w:space="0" w:color="auto"/>
              <w:right w:val="single" w:sz="4" w:space="0" w:color="auto"/>
            </w:tcBorders>
            <w:noWrap/>
            <w:vAlign w:val="bottom"/>
            <w:hideMark/>
          </w:tcPr>
          <w:p w14:paraId="41CAF13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satisfied</w:t>
            </w:r>
          </w:p>
        </w:tc>
        <w:tc>
          <w:tcPr>
            <w:tcW w:w="784" w:type="pct"/>
            <w:gridSpan w:val="3"/>
            <w:tcBorders>
              <w:top w:val="single" w:sz="4" w:space="0" w:color="auto"/>
              <w:left w:val="single" w:sz="4" w:space="0" w:color="auto"/>
              <w:bottom w:val="single" w:sz="4" w:space="0" w:color="auto"/>
              <w:right w:val="single" w:sz="4" w:space="0" w:color="auto"/>
            </w:tcBorders>
            <w:noWrap/>
            <w:vAlign w:val="bottom"/>
            <w:hideMark/>
          </w:tcPr>
          <w:p w14:paraId="2194EEA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55.7%</w:t>
            </w:r>
          </w:p>
        </w:tc>
        <w:tc>
          <w:tcPr>
            <w:tcW w:w="784" w:type="pct"/>
            <w:gridSpan w:val="2"/>
            <w:tcBorders>
              <w:top w:val="single" w:sz="4" w:space="0" w:color="auto"/>
              <w:left w:val="single" w:sz="4" w:space="0" w:color="auto"/>
              <w:bottom w:val="single" w:sz="4" w:space="0" w:color="auto"/>
              <w:right w:val="single" w:sz="4" w:space="0" w:color="auto"/>
            </w:tcBorders>
            <w:noWrap/>
            <w:vAlign w:val="bottom"/>
            <w:hideMark/>
          </w:tcPr>
          <w:p w14:paraId="69933E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63.6%</w:t>
            </w:r>
          </w:p>
        </w:tc>
        <w:tc>
          <w:tcPr>
            <w:tcW w:w="1000" w:type="pct"/>
            <w:gridSpan w:val="3"/>
            <w:tcBorders>
              <w:top w:val="single" w:sz="4" w:space="0" w:color="auto"/>
              <w:left w:val="single" w:sz="4" w:space="0" w:color="auto"/>
              <w:bottom w:val="single" w:sz="4" w:space="0" w:color="auto"/>
              <w:right w:val="single" w:sz="4" w:space="0" w:color="auto"/>
            </w:tcBorders>
            <w:noWrap/>
            <w:vAlign w:val="bottom"/>
            <w:hideMark/>
          </w:tcPr>
          <w:p w14:paraId="50D46E0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59.8%</w:t>
            </w:r>
          </w:p>
        </w:tc>
      </w:tr>
      <w:tr w:rsidR="003A1DC2" w:rsidRPr="00116D0B" w14:paraId="0F42499D" w14:textId="77777777" w:rsidTr="003A1DC2">
        <w:trPr>
          <w:trHeight w:val="300"/>
        </w:trPr>
        <w:tc>
          <w:tcPr>
            <w:tcW w:w="2432" w:type="pct"/>
            <w:gridSpan w:val="5"/>
            <w:tcBorders>
              <w:top w:val="single" w:sz="4" w:space="0" w:color="auto"/>
              <w:left w:val="single" w:sz="4" w:space="0" w:color="auto"/>
              <w:bottom w:val="single" w:sz="4" w:space="0" w:color="auto"/>
              <w:right w:val="single" w:sz="4" w:space="0" w:color="auto"/>
            </w:tcBorders>
            <w:noWrap/>
            <w:vAlign w:val="bottom"/>
            <w:hideMark/>
          </w:tcPr>
          <w:p w14:paraId="0D1C069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unsatisfied</w:t>
            </w:r>
          </w:p>
        </w:tc>
        <w:tc>
          <w:tcPr>
            <w:tcW w:w="784" w:type="pct"/>
            <w:gridSpan w:val="3"/>
            <w:tcBorders>
              <w:top w:val="single" w:sz="4" w:space="0" w:color="auto"/>
              <w:left w:val="single" w:sz="4" w:space="0" w:color="auto"/>
              <w:bottom w:val="single" w:sz="4" w:space="0" w:color="auto"/>
              <w:right w:val="single" w:sz="4" w:space="0" w:color="auto"/>
            </w:tcBorders>
            <w:noWrap/>
            <w:vAlign w:val="bottom"/>
            <w:hideMark/>
          </w:tcPr>
          <w:p w14:paraId="0736324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w:t>
            </w:r>
          </w:p>
        </w:tc>
        <w:tc>
          <w:tcPr>
            <w:tcW w:w="784" w:type="pct"/>
            <w:gridSpan w:val="2"/>
            <w:tcBorders>
              <w:top w:val="single" w:sz="4" w:space="0" w:color="auto"/>
              <w:left w:val="single" w:sz="4" w:space="0" w:color="auto"/>
              <w:bottom w:val="single" w:sz="4" w:space="0" w:color="auto"/>
              <w:right w:val="single" w:sz="4" w:space="0" w:color="auto"/>
            </w:tcBorders>
            <w:noWrap/>
            <w:vAlign w:val="bottom"/>
            <w:hideMark/>
          </w:tcPr>
          <w:p w14:paraId="4533246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c>
          <w:tcPr>
            <w:tcW w:w="1000" w:type="pct"/>
            <w:gridSpan w:val="3"/>
            <w:tcBorders>
              <w:top w:val="single" w:sz="4" w:space="0" w:color="auto"/>
              <w:left w:val="single" w:sz="4" w:space="0" w:color="auto"/>
              <w:bottom w:val="single" w:sz="4" w:space="0" w:color="auto"/>
              <w:right w:val="single" w:sz="4" w:space="0" w:color="auto"/>
            </w:tcBorders>
            <w:noWrap/>
            <w:vAlign w:val="bottom"/>
            <w:hideMark/>
          </w:tcPr>
          <w:p w14:paraId="5608160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w:t>
            </w:r>
          </w:p>
        </w:tc>
      </w:tr>
    </w:tbl>
    <w:p w14:paraId="20AC86F8" w14:textId="77777777" w:rsidR="00C27173" w:rsidRDefault="00C27173" w:rsidP="00C27173">
      <w:pPr>
        <w:pStyle w:val="Caption"/>
      </w:pPr>
    </w:p>
    <w:p w14:paraId="391AF693" w14:textId="3D6D2EE3" w:rsidR="003A1DC2" w:rsidRPr="00C27173" w:rsidRDefault="0065164D" w:rsidP="00C27173">
      <w:pPr>
        <w:spacing w:after="240" w:line="276" w:lineRule="auto"/>
        <w:jc w:val="both"/>
        <w:rPr>
          <w:rFonts w:ascii="Garamond" w:hAnsi="Garamond"/>
          <w:sz w:val="24"/>
          <w:szCs w:val="24"/>
        </w:rPr>
      </w:pPr>
      <w:r w:rsidRPr="00C27173">
        <w:rPr>
          <w:rFonts w:ascii="Garamond" w:hAnsi="Garamond"/>
          <w:sz w:val="24"/>
          <w:szCs w:val="24"/>
        </w:rPr>
        <w:t xml:space="preserve">The findings on whether community members feel safe in their neighborhood or community since the </w:t>
      </w:r>
      <w:r w:rsidR="003A1DC2" w:rsidRPr="00C27173">
        <w:rPr>
          <w:rFonts w:ascii="Garamond" w:hAnsi="Garamond"/>
          <w:sz w:val="24"/>
          <w:szCs w:val="24"/>
        </w:rPr>
        <w:t>CDP sess</w:t>
      </w:r>
      <w:r w:rsidR="00CB4DA9" w:rsidRPr="00C27173">
        <w:rPr>
          <w:rFonts w:ascii="Garamond" w:hAnsi="Garamond"/>
          <w:sz w:val="24"/>
          <w:szCs w:val="24"/>
        </w:rPr>
        <w:t>ion revealed that, overall, 84.1</w:t>
      </w:r>
      <w:r w:rsidR="003A1DC2" w:rsidRPr="00C27173">
        <w:rPr>
          <w:rFonts w:ascii="Garamond" w:hAnsi="Garamond"/>
          <w:sz w:val="24"/>
          <w:szCs w:val="24"/>
        </w:rPr>
        <w:t>% of respondents reported feeling safe, while 18.8% reported not feeling safe. The endline results, when compared with the baseline, indicate a slight increase in the percentage of respondents who reported feeling safe, as only about 79% of the respondents during the baseline reported feeling safe within their communities. This suggests a generally positive impact of the CDP sessions on the perception of safety across most wards.</w:t>
      </w:r>
    </w:p>
    <w:p w14:paraId="26251143" w14:textId="70E2968C" w:rsidR="003A1DC2" w:rsidRPr="00C27173" w:rsidRDefault="003A1DC2" w:rsidP="00C27173">
      <w:pPr>
        <w:spacing w:after="240" w:line="276" w:lineRule="auto"/>
        <w:jc w:val="both"/>
        <w:rPr>
          <w:rFonts w:ascii="Garamond" w:hAnsi="Garamond"/>
          <w:sz w:val="24"/>
          <w:szCs w:val="24"/>
        </w:rPr>
      </w:pPr>
      <w:r w:rsidRPr="00C27173">
        <w:rPr>
          <w:rFonts w:ascii="Garamond" w:hAnsi="Garamond"/>
          <w:sz w:val="24"/>
          <w:szCs w:val="24"/>
        </w:rPr>
        <w:t xml:space="preserve">However, there were notable variations in the wards of </w:t>
      </w:r>
      <w:proofErr w:type="spellStart"/>
      <w:r w:rsidRPr="00C27173">
        <w:rPr>
          <w:rFonts w:ascii="Garamond" w:hAnsi="Garamond"/>
          <w:sz w:val="24"/>
          <w:szCs w:val="24"/>
        </w:rPr>
        <w:t>Garta</w:t>
      </w:r>
      <w:proofErr w:type="spellEnd"/>
      <w:r w:rsidRPr="00C27173">
        <w:rPr>
          <w:rFonts w:ascii="Garamond" w:hAnsi="Garamond"/>
          <w:sz w:val="24"/>
          <w:szCs w:val="24"/>
        </w:rPr>
        <w:t>/</w:t>
      </w:r>
      <w:proofErr w:type="spellStart"/>
      <w:r w:rsidRPr="00C27173">
        <w:rPr>
          <w:rFonts w:ascii="Garamond" w:hAnsi="Garamond"/>
          <w:sz w:val="24"/>
          <w:szCs w:val="24"/>
        </w:rPr>
        <w:t>Ghunchi</w:t>
      </w:r>
      <w:proofErr w:type="spellEnd"/>
      <w:r w:rsidRPr="00C27173">
        <w:rPr>
          <w:rFonts w:ascii="Garamond" w:hAnsi="Garamond"/>
          <w:sz w:val="24"/>
          <w:szCs w:val="24"/>
        </w:rPr>
        <w:t xml:space="preserve"> and </w:t>
      </w:r>
      <w:proofErr w:type="spellStart"/>
      <w:r w:rsidRPr="00C27173">
        <w:rPr>
          <w:rFonts w:ascii="Garamond" w:hAnsi="Garamond"/>
          <w:sz w:val="24"/>
          <w:szCs w:val="24"/>
        </w:rPr>
        <w:t>Tumbara</w:t>
      </w:r>
      <w:proofErr w:type="spellEnd"/>
      <w:r w:rsidRPr="00C27173">
        <w:rPr>
          <w:rFonts w:ascii="Garamond" w:hAnsi="Garamond"/>
          <w:sz w:val="24"/>
          <w:szCs w:val="24"/>
        </w:rPr>
        <w:t>/</w:t>
      </w:r>
      <w:proofErr w:type="spellStart"/>
      <w:r w:rsidRPr="00C27173">
        <w:rPr>
          <w:rFonts w:ascii="Garamond" w:hAnsi="Garamond"/>
          <w:sz w:val="24"/>
          <w:szCs w:val="24"/>
        </w:rPr>
        <w:t>Ng</w:t>
      </w:r>
      <w:r w:rsidR="0065164D" w:rsidRPr="00C27173">
        <w:rPr>
          <w:rFonts w:ascii="Garamond" w:hAnsi="Garamond"/>
          <w:sz w:val="24"/>
          <w:szCs w:val="24"/>
        </w:rPr>
        <w:t>abili</w:t>
      </w:r>
      <w:proofErr w:type="spellEnd"/>
      <w:r w:rsidR="0065164D" w:rsidRPr="00C27173">
        <w:rPr>
          <w:rFonts w:ascii="Garamond" w:hAnsi="Garamond"/>
          <w:sz w:val="24"/>
          <w:szCs w:val="24"/>
        </w:rPr>
        <w:t xml:space="preserve">. In </w:t>
      </w:r>
      <w:proofErr w:type="spellStart"/>
      <w:r w:rsidR="0065164D" w:rsidRPr="00C27173">
        <w:rPr>
          <w:rFonts w:ascii="Garamond" w:hAnsi="Garamond"/>
          <w:sz w:val="24"/>
          <w:szCs w:val="24"/>
        </w:rPr>
        <w:t>Garta</w:t>
      </w:r>
      <w:proofErr w:type="spellEnd"/>
      <w:r w:rsidR="0065164D" w:rsidRPr="00C27173">
        <w:rPr>
          <w:rFonts w:ascii="Garamond" w:hAnsi="Garamond"/>
          <w:sz w:val="24"/>
          <w:szCs w:val="24"/>
        </w:rPr>
        <w:t>/</w:t>
      </w:r>
      <w:proofErr w:type="spellStart"/>
      <w:r w:rsidR="0065164D" w:rsidRPr="00C27173">
        <w:rPr>
          <w:rFonts w:ascii="Garamond" w:hAnsi="Garamond"/>
          <w:sz w:val="24"/>
          <w:szCs w:val="24"/>
        </w:rPr>
        <w:t>Ghunchi</w:t>
      </w:r>
      <w:proofErr w:type="spellEnd"/>
      <w:r w:rsidR="0065164D" w:rsidRPr="00C27173">
        <w:rPr>
          <w:rFonts w:ascii="Garamond" w:hAnsi="Garamond"/>
          <w:sz w:val="24"/>
          <w:szCs w:val="24"/>
        </w:rPr>
        <w:t>, only 67</w:t>
      </w:r>
      <w:r w:rsidRPr="00C27173">
        <w:rPr>
          <w:rFonts w:ascii="Garamond" w:hAnsi="Garamond"/>
          <w:sz w:val="24"/>
          <w:szCs w:val="24"/>
        </w:rPr>
        <w:t>.</w:t>
      </w:r>
      <w:r w:rsidR="0065164D" w:rsidRPr="00C27173">
        <w:rPr>
          <w:rFonts w:ascii="Garamond" w:hAnsi="Garamond"/>
          <w:sz w:val="24"/>
          <w:szCs w:val="24"/>
        </w:rPr>
        <w:t>4</w:t>
      </w:r>
      <w:r w:rsidRPr="00C27173">
        <w:rPr>
          <w:rFonts w:ascii="Garamond" w:hAnsi="Garamond"/>
          <w:sz w:val="24"/>
          <w:szCs w:val="24"/>
        </w:rPr>
        <w:t>% of respondents reported feeling safe, with a sizeable proportion (3</w:t>
      </w:r>
      <w:r w:rsidR="0065164D" w:rsidRPr="00C27173">
        <w:rPr>
          <w:rFonts w:ascii="Garamond" w:hAnsi="Garamond"/>
          <w:sz w:val="24"/>
          <w:szCs w:val="24"/>
        </w:rPr>
        <w:t>2.6</w:t>
      </w:r>
      <w:r w:rsidRPr="00C27173">
        <w:rPr>
          <w:rFonts w:ascii="Garamond" w:hAnsi="Garamond"/>
          <w:sz w:val="24"/>
          <w:szCs w:val="24"/>
        </w:rPr>
        <w:t xml:space="preserve">%) indicating they did not feel safe. Similarly, in </w:t>
      </w:r>
      <w:proofErr w:type="spellStart"/>
      <w:r w:rsidRPr="00C27173">
        <w:rPr>
          <w:rFonts w:ascii="Garamond" w:hAnsi="Garamond"/>
          <w:sz w:val="24"/>
          <w:szCs w:val="24"/>
        </w:rPr>
        <w:t>Tumbara</w:t>
      </w:r>
      <w:proofErr w:type="spellEnd"/>
      <w:r w:rsidRPr="00C27173">
        <w:rPr>
          <w:rFonts w:ascii="Garamond" w:hAnsi="Garamond"/>
          <w:sz w:val="24"/>
          <w:szCs w:val="24"/>
        </w:rPr>
        <w:t>/</w:t>
      </w:r>
      <w:proofErr w:type="spellStart"/>
      <w:r w:rsidRPr="00C27173">
        <w:rPr>
          <w:rFonts w:ascii="Garamond" w:hAnsi="Garamond"/>
          <w:sz w:val="24"/>
          <w:szCs w:val="24"/>
        </w:rPr>
        <w:t>Ngabili</w:t>
      </w:r>
      <w:proofErr w:type="spellEnd"/>
      <w:r w:rsidRPr="00C27173">
        <w:rPr>
          <w:rFonts w:ascii="Garamond" w:hAnsi="Garamond"/>
          <w:sz w:val="24"/>
          <w:szCs w:val="24"/>
        </w:rPr>
        <w:t>, the situation is</w:t>
      </w:r>
      <w:r w:rsidR="00BE3E94" w:rsidRPr="00C27173">
        <w:rPr>
          <w:rFonts w:ascii="Garamond" w:hAnsi="Garamond"/>
          <w:sz w:val="24"/>
          <w:szCs w:val="24"/>
        </w:rPr>
        <w:t xml:space="preserve"> </w:t>
      </w:r>
      <w:r w:rsidR="0065164D" w:rsidRPr="00C27173">
        <w:rPr>
          <w:rFonts w:ascii="Garamond" w:hAnsi="Garamond"/>
          <w:sz w:val="24"/>
          <w:szCs w:val="24"/>
        </w:rPr>
        <w:t>more pronounced, with only 60.4</w:t>
      </w:r>
      <w:r w:rsidRPr="00C27173">
        <w:rPr>
          <w:rFonts w:ascii="Garamond" w:hAnsi="Garamond"/>
          <w:sz w:val="24"/>
          <w:szCs w:val="24"/>
        </w:rPr>
        <w:t>% of respond</w:t>
      </w:r>
      <w:r w:rsidR="00BE3E94" w:rsidRPr="00C27173">
        <w:rPr>
          <w:rFonts w:ascii="Garamond" w:hAnsi="Garamond"/>
          <w:sz w:val="24"/>
          <w:szCs w:val="24"/>
        </w:rPr>
        <w:t>e</w:t>
      </w:r>
      <w:r w:rsidR="0065164D" w:rsidRPr="00C27173">
        <w:rPr>
          <w:rFonts w:ascii="Garamond" w:hAnsi="Garamond"/>
          <w:sz w:val="24"/>
          <w:szCs w:val="24"/>
        </w:rPr>
        <w:t>nts feeling safe and about 39.6</w:t>
      </w:r>
      <w:r w:rsidRPr="00C27173">
        <w:rPr>
          <w:rFonts w:ascii="Garamond" w:hAnsi="Garamond"/>
          <w:sz w:val="24"/>
          <w:szCs w:val="24"/>
        </w:rPr>
        <w:t xml:space="preserve">% reporting feeling unsafe. This lower sense of security highlights potential areas of concern within these wards. Overall, while the CDP sessions have generally improved the sense of safety in many wards, </w:t>
      </w:r>
      <w:proofErr w:type="spellStart"/>
      <w:r w:rsidRPr="00C27173">
        <w:rPr>
          <w:rFonts w:ascii="Garamond" w:hAnsi="Garamond"/>
          <w:sz w:val="24"/>
          <w:szCs w:val="24"/>
        </w:rPr>
        <w:t>Garta</w:t>
      </w:r>
      <w:proofErr w:type="spellEnd"/>
      <w:r w:rsidRPr="00C27173">
        <w:rPr>
          <w:rFonts w:ascii="Garamond" w:hAnsi="Garamond"/>
          <w:sz w:val="24"/>
          <w:szCs w:val="24"/>
        </w:rPr>
        <w:t>/</w:t>
      </w:r>
      <w:proofErr w:type="spellStart"/>
      <w:r w:rsidRPr="00C27173">
        <w:rPr>
          <w:rFonts w:ascii="Garamond" w:hAnsi="Garamond"/>
          <w:sz w:val="24"/>
          <w:szCs w:val="24"/>
        </w:rPr>
        <w:t>Ghunchi</w:t>
      </w:r>
      <w:proofErr w:type="spellEnd"/>
      <w:r w:rsidRPr="00C27173">
        <w:rPr>
          <w:rFonts w:ascii="Garamond" w:hAnsi="Garamond"/>
          <w:sz w:val="24"/>
          <w:szCs w:val="24"/>
        </w:rPr>
        <w:t xml:space="preserve"> and </w:t>
      </w:r>
      <w:proofErr w:type="spellStart"/>
      <w:r w:rsidRPr="00C27173">
        <w:rPr>
          <w:rFonts w:ascii="Garamond" w:hAnsi="Garamond"/>
          <w:sz w:val="24"/>
          <w:szCs w:val="24"/>
        </w:rPr>
        <w:t>Tumbara</w:t>
      </w:r>
      <w:proofErr w:type="spellEnd"/>
      <w:r w:rsidRPr="00C27173">
        <w:rPr>
          <w:rFonts w:ascii="Garamond" w:hAnsi="Garamond"/>
          <w:sz w:val="24"/>
          <w:szCs w:val="24"/>
        </w:rPr>
        <w:t>/</w:t>
      </w:r>
      <w:proofErr w:type="spellStart"/>
      <w:r w:rsidRPr="00C27173">
        <w:rPr>
          <w:rFonts w:ascii="Garamond" w:hAnsi="Garamond"/>
          <w:sz w:val="24"/>
          <w:szCs w:val="24"/>
        </w:rPr>
        <w:t>Ngabili</w:t>
      </w:r>
      <w:proofErr w:type="spellEnd"/>
      <w:r w:rsidRPr="00C27173">
        <w:rPr>
          <w:rFonts w:ascii="Garamond" w:hAnsi="Garamond"/>
          <w:sz w:val="24"/>
          <w:szCs w:val="24"/>
        </w:rPr>
        <w:t xml:space="preserve"> require additional attention to ensure that all community members feel secure.</w:t>
      </w:r>
    </w:p>
    <w:p w14:paraId="59CD3886" w14:textId="455A9184" w:rsidR="003A1DC2" w:rsidRPr="00116D0B" w:rsidRDefault="003A1DC2" w:rsidP="00C27173">
      <w:pPr>
        <w:pStyle w:val="Caption"/>
      </w:pPr>
      <w:bookmarkStart w:id="78" w:name="_Toc166704044"/>
      <w:r w:rsidRPr="00116D0B">
        <w:t xml:space="preserve">Table </w:t>
      </w:r>
      <w:fldSimple w:instr=" SEQ Table \* ARABIC ">
        <w:r w:rsidR="00116D0B" w:rsidRPr="00116D0B">
          <w:rPr>
            <w:noProof/>
          </w:rPr>
          <w:t>21</w:t>
        </w:r>
      </w:fldSimple>
      <w:r w:rsidRPr="00116D0B">
        <w:t>: Percentage of respondents reporting feeling safe in the community</w:t>
      </w:r>
      <w:bookmarkEnd w:id="78"/>
    </w:p>
    <w:tbl>
      <w:tblPr>
        <w:tblW w:w="5052" w:type="pct"/>
        <w:tblLook w:val="04A0" w:firstRow="1" w:lastRow="0" w:firstColumn="1" w:lastColumn="0" w:noHBand="0" w:noVBand="1"/>
      </w:tblPr>
      <w:tblGrid>
        <w:gridCol w:w="1647"/>
        <w:gridCol w:w="916"/>
        <w:gridCol w:w="916"/>
        <w:gridCol w:w="916"/>
        <w:gridCol w:w="183"/>
        <w:gridCol w:w="734"/>
        <w:gridCol w:w="916"/>
        <w:gridCol w:w="46"/>
        <w:gridCol w:w="870"/>
        <w:gridCol w:w="702"/>
        <w:gridCol w:w="214"/>
        <w:gridCol w:w="916"/>
        <w:gridCol w:w="916"/>
      </w:tblGrid>
      <w:tr w:rsidR="003A1DC2" w:rsidRPr="00116D0B" w14:paraId="47A6E119" w14:textId="77777777" w:rsidTr="0065164D">
        <w:trPr>
          <w:trHeight w:val="1448"/>
        </w:trPr>
        <w:tc>
          <w:tcPr>
            <w:tcW w:w="833"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01F1231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Do you feel safe in your neighborhood or community since the CDP session?</w:t>
            </w:r>
          </w:p>
        </w:tc>
        <w:tc>
          <w:tcPr>
            <w:tcW w:w="463"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1ADBE6B9"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63"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012F17F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63"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06B7E1B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63"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5759C6D3"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63"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2A2D603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63"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29D1BC3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63"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E2E11F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63"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8754E2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63"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4745464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65164D" w:rsidRPr="00116D0B" w14:paraId="123C6337" w14:textId="77777777" w:rsidTr="0065164D">
        <w:trPr>
          <w:trHeight w:val="300"/>
        </w:trPr>
        <w:tc>
          <w:tcPr>
            <w:tcW w:w="833" w:type="pct"/>
            <w:tcBorders>
              <w:top w:val="single" w:sz="4" w:space="0" w:color="auto"/>
              <w:left w:val="single" w:sz="4" w:space="0" w:color="auto"/>
              <w:bottom w:val="single" w:sz="4" w:space="0" w:color="auto"/>
              <w:right w:val="single" w:sz="4" w:space="0" w:color="auto"/>
            </w:tcBorders>
            <w:noWrap/>
            <w:vAlign w:val="bottom"/>
            <w:hideMark/>
          </w:tcPr>
          <w:p w14:paraId="68164FDA" w14:textId="77777777"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463" w:type="pct"/>
            <w:tcBorders>
              <w:top w:val="single" w:sz="4" w:space="0" w:color="auto"/>
              <w:left w:val="single" w:sz="4" w:space="0" w:color="auto"/>
              <w:bottom w:val="single" w:sz="4" w:space="0" w:color="auto"/>
              <w:right w:val="single" w:sz="4" w:space="0" w:color="auto"/>
            </w:tcBorders>
            <w:noWrap/>
            <w:hideMark/>
          </w:tcPr>
          <w:p w14:paraId="3B023AE2" w14:textId="10B3728D"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32.6%</w:t>
            </w:r>
          </w:p>
        </w:tc>
        <w:tc>
          <w:tcPr>
            <w:tcW w:w="463" w:type="pct"/>
            <w:tcBorders>
              <w:top w:val="single" w:sz="4" w:space="0" w:color="auto"/>
              <w:left w:val="single" w:sz="4" w:space="0" w:color="auto"/>
              <w:bottom w:val="single" w:sz="4" w:space="0" w:color="auto"/>
              <w:right w:val="single" w:sz="4" w:space="0" w:color="auto"/>
            </w:tcBorders>
            <w:noWrap/>
            <w:hideMark/>
          </w:tcPr>
          <w:p w14:paraId="5F99BE06" w14:textId="22964397"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0.0%</w:t>
            </w:r>
          </w:p>
        </w:tc>
        <w:tc>
          <w:tcPr>
            <w:tcW w:w="463" w:type="pct"/>
            <w:tcBorders>
              <w:top w:val="single" w:sz="4" w:space="0" w:color="auto"/>
              <w:left w:val="single" w:sz="4" w:space="0" w:color="auto"/>
              <w:bottom w:val="single" w:sz="4" w:space="0" w:color="auto"/>
              <w:right w:val="single" w:sz="4" w:space="0" w:color="auto"/>
            </w:tcBorders>
            <w:noWrap/>
            <w:hideMark/>
          </w:tcPr>
          <w:p w14:paraId="281BE8CA" w14:textId="4A4E8840"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7.3%</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51BE437B" w14:textId="0EACB473"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0.0%</w:t>
            </w:r>
          </w:p>
        </w:tc>
        <w:tc>
          <w:tcPr>
            <w:tcW w:w="463" w:type="pct"/>
            <w:tcBorders>
              <w:top w:val="single" w:sz="4" w:space="0" w:color="auto"/>
              <w:left w:val="single" w:sz="4" w:space="0" w:color="auto"/>
              <w:bottom w:val="single" w:sz="4" w:space="0" w:color="auto"/>
              <w:right w:val="single" w:sz="4" w:space="0" w:color="auto"/>
            </w:tcBorders>
            <w:noWrap/>
            <w:hideMark/>
          </w:tcPr>
          <w:p w14:paraId="0B2FA512" w14:textId="378F0610"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0.0%</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3DDC5FC8" w14:textId="644D6B21"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2.3%</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4A5356FE" w14:textId="5755E198"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39.6%</w:t>
            </w:r>
          </w:p>
        </w:tc>
        <w:tc>
          <w:tcPr>
            <w:tcW w:w="463" w:type="pct"/>
            <w:tcBorders>
              <w:top w:val="single" w:sz="4" w:space="0" w:color="auto"/>
              <w:left w:val="single" w:sz="4" w:space="0" w:color="auto"/>
              <w:bottom w:val="single" w:sz="4" w:space="0" w:color="auto"/>
              <w:right w:val="single" w:sz="4" w:space="0" w:color="auto"/>
            </w:tcBorders>
            <w:noWrap/>
            <w:hideMark/>
          </w:tcPr>
          <w:p w14:paraId="7A3D3838" w14:textId="1ABEA81F"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8.9%</w:t>
            </w:r>
          </w:p>
        </w:tc>
        <w:tc>
          <w:tcPr>
            <w:tcW w:w="463" w:type="pct"/>
            <w:tcBorders>
              <w:top w:val="single" w:sz="4" w:space="0" w:color="auto"/>
              <w:left w:val="single" w:sz="4" w:space="0" w:color="auto"/>
              <w:bottom w:val="single" w:sz="4" w:space="0" w:color="auto"/>
              <w:right w:val="single" w:sz="4" w:space="0" w:color="auto"/>
            </w:tcBorders>
            <w:noWrap/>
            <w:hideMark/>
          </w:tcPr>
          <w:p w14:paraId="19A2B668" w14:textId="2048216B"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15.2%</w:t>
            </w:r>
          </w:p>
        </w:tc>
      </w:tr>
      <w:tr w:rsidR="0065164D" w:rsidRPr="00116D0B" w14:paraId="5892DED5" w14:textId="77777777" w:rsidTr="0065164D">
        <w:trPr>
          <w:trHeight w:val="315"/>
        </w:trPr>
        <w:tc>
          <w:tcPr>
            <w:tcW w:w="833" w:type="pct"/>
            <w:tcBorders>
              <w:top w:val="single" w:sz="4" w:space="0" w:color="auto"/>
              <w:left w:val="single" w:sz="4" w:space="0" w:color="auto"/>
              <w:bottom w:val="single" w:sz="4" w:space="0" w:color="auto"/>
              <w:right w:val="single" w:sz="4" w:space="0" w:color="auto"/>
            </w:tcBorders>
            <w:noWrap/>
            <w:vAlign w:val="bottom"/>
            <w:hideMark/>
          </w:tcPr>
          <w:p w14:paraId="31B6E7A2" w14:textId="77777777"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463" w:type="pct"/>
            <w:tcBorders>
              <w:top w:val="single" w:sz="4" w:space="0" w:color="auto"/>
              <w:left w:val="single" w:sz="4" w:space="0" w:color="auto"/>
              <w:bottom w:val="single" w:sz="4" w:space="0" w:color="auto"/>
              <w:right w:val="single" w:sz="4" w:space="0" w:color="auto"/>
            </w:tcBorders>
            <w:noWrap/>
            <w:hideMark/>
          </w:tcPr>
          <w:p w14:paraId="50E10399" w14:textId="705A5E09"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67.4%</w:t>
            </w:r>
          </w:p>
        </w:tc>
        <w:tc>
          <w:tcPr>
            <w:tcW w:w="463" w:type="pct"/>
            <w:tcBorders>
              <w:top w:val="single" w:sz="4" w:space="0" w:color="auto"/>
              <w:left w:val="single" w:sz="4" w:space="0" w:color="auto"/>
              <w:bottom w:val="single" w:sz="4" w:space="0" w:color="auto"/>
              <w:right w:val="single" w:sz="4" w:space="0" w:color="auto"/>
            </w:tcBorders>
            <w:noWrap/>
            <w:hideMark/>
          </w:tcPr>
          <w:p w14:paraId="6353E4F0" w14:textId="2004E0CB"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100.0%</w:t>
            </w:r>
          </w:p>
        </w:tc>
        <w:tc>
          <w:tcPr>
            <w:tcW w:w="463" w:type="pct"/>
            <w:tcBorders>
              <w:top w:val="single" w:sz="4" w:space="0" w:color="auto"/>
              <w:left w:val="single" w:sz="4" w:space="0" w:color="auto"/>
              <w:bottom w:val="single" w:sz="4" w:space="0" w:color="auto"/>
              <w:right w:val="single" w:sz="4" w:space="0" w:color="auto"/>
            </w:tcBorders>
            <w:noWrap/>
            <w:hideMark/>
          </w:tcPr>
          <w:p w14:paraId="2482BBA8" w14:textId="40B53B0A"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92.7%</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4665E829" w14:textId="2F462890"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100.0%</w:t>
            </w:r>
          </w:p>
        </w:tc>
        <w:tc>
          <w:tcPr>
            <w:tcW w:w="463" w:type="pct"/>
            <w:tcBorders>
              <w:top w:val="single" w:sz="4" w:space="0" w:color="auto"/>
              <w:left w:val="single" w:sz="4" w:space="0" w:color="auto"/>
              <w:bottom w:val="single" w:sz="4" w:space="0" w:color="auto"/>
              <w:right w:val="single" w:sz="4" w:space="0" w:color="auto"/>
            </w:tcBorders>
            <w:noWrap/>
            <w:hideMark/>
          </w:tcPr>
          <w:p w14:paraId="4E88355A" w14:textId="52F959B0"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100.0%</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5A7389F9" w14:textId="6D484661"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97.7%</w:t>
            </w:r>
          </w:p>
        </w:tc>
        <w:tc>
          <w:tcPr>
            <w:tcW w:w="463" w:type="pct"/>
            <w:gridSpan w:val="2"/>
            <w:tcBorders>
              <w:top w:val="single" w:sz="4" w:space="0" w:color="auto"/>
              <w:left w:val="single" w:sz="4" w:space="0" w:color="auto"/>
              <w:bottom w:val="single" w:sz="4" w:space="0" w:color="auto"/>
              <w:right w:val="single" w:sz="4" w:space="0" w:color="auto"/>
            </w:tcBorders>
            <w:noWrap/>
            <w:hideMark/>
          </w:tcPr>
          <w:p w14:paraId="1D80EBDA" w14:textId="69DC6A18"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60.4%</w:t>
            </w:r>
          </w:p>
        </w:tc>
        <w:tc>
          <w:tcPr>
            <w:tcW w:w="463" w:type="pct"/>
            <w:tcBorders>
              <w:top w:val="single" w:sz="4" w:space="0" w:color="auto"/>
              <w:left w:val="single" w:sz="4" w:space="0" w:color="auto"/>
              <w:bottom w:val="single" w:sz="4" w:space="0" w:color="auto"/>
              <w:right w:val="single" w:sz="4" w:space="0" w:color="auto"/>
            </w:tcBorders>
            <w:noWrap/>
            <w:hideMark/>
          </w:tcPr>
          <w:p w14:paraId="75E4CE3A" w14:textId="52F39A1B"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91.1%</w:t>
            </w:r>
          </w:p>
        </w:tc>
        <w:tc>
          <w:tcPr>
            <w:tcW w:w="463" w:type="pct"/>
            <w:tcBorders>
              <w:top w:val="single" w:sz="4" w:space="0" w:color="auto"/>
              <w:left w:val="single" w:sz="4" w:space="0" w:color="auto"/>
              <w:bottom w:val="single" w:sz="4" w:space="0" w:color="auto"/>
              <w:right w:val="single" w:sz="4" w:space="0" w:color="auto"/>
            </w:tcBorders>
            <w:noWrap/>
            <w:hideMark/>
          </w:tcPr>
          <w:p w14:paraId="65C88493" w14:textId="55254B7B" w:rsidR="0065164D" w:rsidRPr="00116D0B" w:rsidRDefault="0065164D" w:rsidP="0065164D">
            <w:pPr>
              <w:widowControl/>
              <w:autoSpaceDE/>
              <w:autoSpaceDN/>
              <w:jc w:val="both"/>
              <w:rPr>
                <w:rFonts w:ascii="Garamond" w:eastAsia="Times New Roman" w:hAnsi="Garamond" w:cs="Calibri"/>
                <w:color w:val="000000"/>
                <w:sz w:val="24"/>
                <w:szCs w:val="24"/>
              </w:rPr>
            </w:pPr>
            <w:r w:rsidRPr="00116D0B">
              <w:rPr>
                <w:rFonts w:ascii="Garamond" w:hAnsi="Garamond"/>
                <w:sz w:val="24"/>
                <w:szCs w:val="24"/>
              </w:rPr>
              <w:t>84.8%</w:t>
            </w:r>
          </w:p>
        </w:tc>
      </w:tr>
      <w:tr w:rsidR="003A1DC2" w:rsidRPr="00116D0B" w14:paraId="132A5B6E" w14:textId="77777777" w:rsidTr="0065164D">
        <w:trPr>
          <w:trHeight w:val="431"/>
        </w:trPr>
        <w:tc>
          <w:tcPr>
            <w:tcW w:w="2314" w:type="pct"/>
            <w:gridSpan w:val="5"/>
            <w:tcBorders>
              <w:top w:val="single" w:sz="4" w:space="0" w:color="auto"/>
              <w:left w:val="single" w:sz="4" w:space="0" w:color="auto"/>
              <w:bottom w:val="single" w:sz="4" w:space="0" w:color="auto"/>
              <w:right w:val="single" w:sz="4" w:space="0" w:color="auto"/>
            </w:tcBorders>
            <w:shd w:val="clear" w:color="549E39" w:fill="549E39"/>
            <w:vAlign w:val="bottom"/>
            <w:hideMark/>
          </w:tcPr>
          <w:p w14:paraId="157B6CA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Do you feel safe in your neighborhood or community since the CDP session?</w:t>
            </w:r>
          </w:p>
        </w:tc>
        <w:tc>
          <w:tcPr>
            <w:tcW w:w="857"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3B03B28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795"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17E5EFC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1034"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B2C078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Grand Total</w:t>
            </w:r>
          </w:p>
        </w:tc>
      </w:tr>
      <w:tr w:rsidR="003A1DC2" w:rsidRPr="00116D0B" w14:paraId="2704E1CC" w14:textId="77777777" w:rsidTr="0065164D">
        <w:trPr>
          <w:trHeight w:val="300"/>
        </w:trPr>
        <w:tc>
          <w:tcPr>
            <w:tcW w:w="2314" w:type="pct"/>
            <w:gridSpan w:val="5"/>
            <w:tcBorders>
              <w:top w:val="single" w:sz="4" w:space="0" w:color="auto"/>
              <w:left w:val="single" w:sz="4" w:space="0" w:color="auto"/>
              <w:bottom w:val="single" w:sz="4" w:space="0" w:color="auto"/>
              <w:right w:val="single" w:sz="4" w:space="0" w:color="auto"/>
            </w:tcBorders>
            <w:noWrap/>
            <w:vAlign w:val="bottom"/>
            <w:hideMark/>
          </w:tcPr>
          <w:p w14:paraId="5B024F3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857" w:type="pct"/>
            <w:gridSpan w:val="3"/>
            <w:tcBorders>
              <w:top w:val="single" w:sz="4" w:space="0" w:color="auto"/>
              <w:left w:val="single" w:sz="4" w:space="0" w:color="auto"/>
              <w:bottom w:val="single" w:sz="4" w:space="0" w:color="auto"/>
              <w:right w:val="single" w:sz="4" w:space="0" w:color="auto"/>
            </w:tcBorders>
            <w:noWrap/>
            <w:vAlign w:val="bottom"/>
            <w:hideMark/>
          </w:tcPr>
          <w:p w14:paraId="02A6036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18.6%</w:t>
            </w:r>
          </w:p>
        </w:tc>
        <w:tc>
          <w:tcPr>
            <w:tcW w:w="795" w:type="pct"/>
            <w:gridSpan w:val="2"/>
            <w:tcBorders>
              <w:top w:val="single" w:sz="4" w:space="0" w:color="auto"/>
              <w:left w:val="single" w:sz="4" w:space="0" w:color="auto"/>
              <w:bottom w:val="single" w:sz="4" w:space="0" w:color="auto"/>
              <w:right w:val="single" w:sz="4" w:space="0" w:color="auto"/>
            </w:tcBorders>
            <w:noWrap/>
            <w:vAlign w:val="bottom"/>
            <w:hideMark/>
          </w:tcPr>
          <w:p w14:paraId="35DCEA5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19.0%</w:t>
            </w:r>
          </w:p>
        </w:tc>
        <w:tc>
          <w:tcPr>
            <w:tcW w:w="1034" w:type="pct"/>
            <w:gridSpan w:val="3"/>
            <w:tcBorders>
              <w:top w:val="single" w:sz="4" w:space="0" w:color="auto"/>
              <w:left w:val="single" w:sz="4" w:space="0" w:color="auto"/>
              <w:bottom w:val="single" w:sz="4" w:space="0" w:color="auto"/>
              <w:right w:val="single" w:sz="4" w:space="0" w:color="auto"/>
            </w:tcBorders>
            <w:noWrap/>
            <w:vAlign w:val="bottom"/>
            <w:hideMark/>
          </w:tcPr>
          <w:p w14:paraId="7716213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18.8%</w:t>
            </w:r>
          </w:p>
        </w:tc>
      </w:tr>
      <w:tr w:rsidR="003A1DC2" w:rsidRPr="00116D0B" w14:paraId="28094C05" w14:textId="77777777" w:rsidTr="0065164D">
        <w:trPr>
          <w:trHeight w:val="315"/>
        </w:trPr>
        <w:tc>
          <w:tcPr>
            <w:tcW w:w="2314" w:type="pct"/>
            <w:gridSpan w:val="5"/>
            <w:tcBorders>
              <w:top w:val="single" w:sz="4" w:space="0" w:color="auto"/>
              <w:left w:val="single" w:sz="4" w:space="0" w:color="auto"/>
              <w:bottom w:val="single" w:sz="4" w:space="0" w:color="auto"/>
              <w:right w:val="single" w:sz="4" w:space="0" w:color="auto"/>
            </w:tcBorders>
            <w:noWrap/>
            <w:vAlign w:val="bottom"/>
            <w:hideMark/>
          </w:tcPr>
          <w:p w14:paraId="0157063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857" w:type="pct"/>
            <w:gridSpan w:val="3"/>
            <w:tcBorders>
              <w:top w:val="single" w:sz="4" w:space="0" w:color="auto"/>
              <w:left w:val="single" w:sz="4" w:space="0" w:color="auto"/>
              <w:bottom w:val="single" w:sz="4" w:space="0" w:color="auto"/>
              <w:right w:val="single" w:sz="4" w:space="0" w:color="auto"/>
            </w:tcBorders>
            <w:noWrap/>
            <w:vAlign w:val="bottom"/>
            <w:hideMark/>
          </w:tcPr>
          <w:p w14:paraId="0294FFF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81.4%</w:t>
            </w:r>
          </w:p>
        </w:tc>
        <w:tc>
          <w:tcPr>
            <w:tcW w:w="795" w:type="pct"/>
            <w:gridSpan w:val="2"/>
            <w:tcBorders>
              <w:top w:val="single" w:sz="4" w:space="0" w:color="auto"/>
              <w:left w:val="single" w:sz="4" w:space="0" w:color="auto"/>
              <w:bottom w:val="single" w:sz="4" w:space="0" w:color="auto"/>
              <w:right w:val="single" w:sz="4" w:space="0" w:color="auto"/>
            </w:tcBorders>
            <w:noWrap/>
            <w:vAlign w:val="bottom"/>
            <w:hideMark/>
          </w:tcPr>
          <w:p w14:paraId="292C2D6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81.0%</w:t>
            </w:r>
          </w:p>
        </w:tc>
        <w:tc>
          <w:tcPr>
            <w:tcW w:w="1034" w:type="pct"/>
            <w:gridSpan w:val="3"/>
            <w:tcBorders>
              <w:top w:val="single" w:sz="4" w:space="0" w:color="auto"/>
              <w:left w:val="single" w:sz="4" w:space="0" w:color="auto"/>
              <w:bottom w:val="single" w:sz="4" w:space="0" w:color="auto"/>
              <w:right w:val="single" w:sz="4" w:space="0" w:color="auto"/>
            </w:tcBorders>
            <w:noWrap/>
            <w:vAlign w:val="bottom"/>
            <w:hideMark/>
          </w:tcPr>
          <w:p w14:paraId="1ED68DC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81.2%</w:t>
            </w:r>
          </w:p>
        </w:tc>
      </w:tr>
    </w:tbl>
    <w:p w14:paraId="5E9397F8" w14:textId="0A270448" w:rsidR="003A1DC2" w:rsidRPr="00116D0B" w:rsidRDefault="003A1DC2" w:rsidP="003A1DC2">
      <w:pPr>
        <w:spacing w:before="240" w:after="240" w:line="276" w:lineRule="auto"/>
        <w:jc w:val="both"/>
        <w:rPr>
          <w:rFonts w:ascii="Garamond" w:eastAsia="Calibri" w:hAnsi="Garamond" w:cs="Calibri"/>
          <w:sz w:val="24"/>
          <w:szCs w:val="24"/>
        </w:rPr>
      </w:pPr>
      <w:r w:rsidRPr="00116D0B">
        <w:rPr>
          <w:rFonts w:ascii="Garamond" w:eastAsia="Calibri" w:hAnsi="Garamond" w:cs="Calibri"/>
          <w:sz w:val="24"/>
          <w:szCs w:val="24"/>
        </w:rPr>
        <w:t>In terms of the reasons why community members felt safer in their communities, the most reported reason was increased activity by vigilante groups (45.2%), suggesting that a stronger community watch presence may have contributed to the perception of improved safety among community members. Furthermore, the feeling that community members and leaders are unified was mentioned by 31.3% of respondents. This could indicate that the CDP sessions fostered a stronger sense of community cohesion, which residents perceive as making their neighborhoods safer. Other reasons cited included reduced crime rates due to youth employment (1.2%) and the CDP sessions teaching residents to live peacefully (5.2%). Interestingly, the findings disaggregated by gender did not reveal significant differences in the reasons provided by men and women, as both genders placed similar weight on factors like vigilante activity and community unity. See Table 22.</w:t>
      </w:r>
    </w:p>
    <w:p w14:paraId="15DBFE13" w14:textId="77777777" w:rsidR="003A1DC2" w:rsidRPr="00116D0B" w:rsidRDefault="003A1DC2" w:rsidP="003A1DC2">
      <w:pPr>
        <w:spacing w:before="240" w:after="240" w:line="276" w:lineRule="auto"/>
        <w:jc w:val="both"/>
        <w:rPr>
          <w:rFonts w:ascii="Garamond" w:eastAsia="Calibri" w:hAnsi="Garamond" w:cs="Calibri"/>
          <w:sz w:val="24"/>
          <w:szCs w:val="24"/>
        </w:rPr>
      </w:pPr>
    </w:p>
    <w:p w14:paraId="577B129D" w14:textId="2280E8EC" w:rsidR="003A1DC2" w:rsidRPr="00116D0B" w:rsidRDefault="003A1DC2" w:rsidP="00C27173">
      <w:pPr>
        <w:pStyle w:val="Caption"/>
      </w:pPr>
      <w:bookmarkStart w:id="79" w:name="_Toc166704045"/>
      <w:r w:rsidRPr="00116D0B">
        <w:lastRenderedPageBreak/>
        <w:t xml:space="preserve">Table </w:t>
      </w:r>
      <w:fldSimple w:instr=" SEQ Table \* ARABIC ">
        <w:r w:rsidR="00116D0B" w:rsidRPr="00116D0B">
          <w:rPr>
            <w:noProof/>
          </w:rPr>
          <w:t>22</w:t>
        </w:r>
      </w:fldSimple>
      <w:r w:rsidRPr="00116D0B">
        <w:t>: Reasons for feeling safe</w:t>
      </w:r>
      <w:bookmarkEnd w:id="79"/>
    </w:p>
    <w:tbl>
      <w:tblPr>
        <w:tblW w:w="5051" w:type="pct"/>
        <w:tblLook w:val="04A0" w:firstRow="1" w:lastRow="0" w:firstColumn="1" w:lastColumn="0" w:noHBand="0" w:noVBand="1"/>
      </w:tblPr>
      <w:tblGrid>
        <w:gridCol w:w="2201"/>
        <w:gridCol w:w="836"/>
        <w:gridCol w:w="836"/>
        <w:gridCol w:w="839"/>
        <w:gridCol w:w="115"/>
        <w:gridCol w:w="720"/>
        <w:gridCol w:w="843"/>
        <w:gridCol w:w="1009"/>
        <w:gridCol w:w="591"/>
        <w:gridCol w:w="214"/>
        <w:gridCol w:w="845"/>
        <w:gridCol w:w="841"/>
      </w:tblGrid>
      <w:tr w:rsidR="003A1DC2" w:rsidRPr="00116D0B" w14:paraId="04802E97" w14:textId="77777777" w:rsidTr="00CB4DA9">
        <w:trPr>
          <w:trHeight w:val="1219"/>
        </w:trPr>
        <w:tc>
          <w:tcPr>
            <w:tcW w:w="1113"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6A857790" w14:textId="77777777" w:rsidR="003A1DC2" w:rsidRPr="00116D0B" w:rsidRDefault="003A1DC2" w:rsidP="00C27173">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If Yes, </w:t>
            </w:r>
            <w:proofErr w:type="gramStart"/>
            <w:r w:rsidRPr="00116D0B">
              <w:rPr>
                <w:rFonts w:ascii="Garamond" w:eastAsia="Times New Roman" w:hAnsi="Garamond" w:cs="Calibri"/>
                <w:b/>
                <w:bCs/>
                <w:color w:val="FFFFFF"/>
                <w:sz w:val="24"/>
                <w:szCs w:val="24"/>
              </w:rPr>
              <w:t>Why</w:t>
            </w:r>
            <w:proofErr w:type="gramEnd"/>
            <w:r w:rsidRPr="00116D0B">
              <w:rPr>
                <w:rFonts w:ascii="Garamond" w:eastAsia="Times New Roman" w:hAnsi="Garamond" w:cs="Calibri"/>
                <w:b/>
                <w:bCs/>
                <w:color w:val="FFFFFF"/>
                <w:sz w:val="24"/>
                <w:szCs w:val="24"/>
              </w:rPr>
              <w:t>? kindly mention the perceived reasons.</w:t>
            </w:r>
          </w:p>
        </w:tc>
        <w:tc>
          <w:tcPr>
            <w:tcW w:w="423"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1D48B51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23"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9571A4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24"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D97EC1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22"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849D199"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26"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42FADC4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510"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2CE1A02E"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07"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6CADF5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27"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FE8377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26"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5AA4EF6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02CCADCC"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4487FBDF"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Vigilante group activity in the community</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2FD6698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4F9A95B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36.4%</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786E602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19.1%</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3D6A92E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3C9180E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74.1%</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350AFC7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42.5%</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0184B70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28.6%</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5B6D5D4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84.8%</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0DA15F2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45.2%</w:t>
            </w:r>
          </w:p>
        </w:tc>
      </w:tr>
      <w:tr w:rsidR="003A1DC2" w:rsidRPr="00116D0B" w14:paraId="04B5CA26"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01340EEE"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Community members and leaders live in unity</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452D6D3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7AC2F27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54.5%</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23DDC8F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57.4%</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0E740CB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5199A6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18.5%</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1245694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22.5%</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0BE4153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34.9%</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480FC69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6.5%</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2041506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31.3%</w:t>
            </w:r>
          </w:p>
        </w:tc>
      </w:tr>
      <w:tr w:rsidR="003A1DC2" w:rsidRPr="00116D0B" w14:paraId="4E0C5C44"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4D18C1A9"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Government provided security to our community</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49CA508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718026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5C55E0C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21.3%</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659DDFE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74A2988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1CC31C9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042C655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36393D1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8.7%</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4CEA27F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6.1%</w:t>
            </w:r>
          </w:p>
        </w:tc>
      </w:tr>
      <w:tr w:rsidR="003A1DC2" w:rsidRPr="00116D0B" w14:paraId="3F98D5D7"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4B3C6A41"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 incidence of kidnapping and/or theft</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67C5196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0F6B68F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26A5C31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40390A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675AEB0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25F7727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25.0%</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20F0046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12.7%</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32E6630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4B70C09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w:t>
            </w:r>
          </w:p>
        </w:tc>
      </w:tr>
      <w:tr w:rsidR="003A1DC2" w:rsidRPr="00116D0B" w14:paraId="731E5808"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65507E68"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Because of our religion and/or language</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5C0E4BC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2B7EC0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389E795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32A23BB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29.7%</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14DA13B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0D33B98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1460A27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5A4695B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60E9599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w:t>
            </w:r>
          </w:p>
        </w:tc>
      </w:tr>
      <w:tr w:rsidR="003A1DC2" w:rsidRPr="00116D0B" w14:paraId="0A36C59A" w14:textId="77777777" w:rsidTr="00CB4DA9">
        <w:trPr>
          <w:trHeight w:val="600"/>
        </w:trPr>
        <w:tc>
          <w:tcPr>
            <w:tcW w:w="1113" w:type="pct"/>
            <w:tcBorders>
              <w:top w:val="single" w:sz="4" w:space="0" w:color="auto"/>
              <w:left w:val="single" w:sz="4" w:space="0" w:color="auto"/>
              <w:bottom w:val="single" w:sz="4" w:space="0" w:color="auto"/>
              <w:right w:val="single" w:sz="4" w:space="0" w:color="auto"/>
            </w:tcBorders>
            <w:vAlign w:val="bottom"/>
            <w:hideMark/>
          </w:tcPr>
          <w:p w14:paraId="6E241FDE"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CPD sessions taught us to live in peace with one another</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7AE7765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1CB2E63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9.1%</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16363E9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3A0B2D2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10.8%</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59D0CB6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3A18D14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6521E2A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14.3%</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60018B5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364B84E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w:t>
            </w:r>
          </w:p>
        </w:tc>
      </w:tr>
      <w:tr w:rsidR="003A1DC2" w:rsidRPr="00116D0B" w14:paraId="7DE7F497" w14:textId="77777777" w:rsidTr="00CB4DA9">
        <w:trPr>
          <w:trHeight w:val="915"/>
        </w:trPr>
        <w:tc>
          <w:tcPr>
            <w:tcW w:w="1113" w:type="pct"/>
            <w:tcBorders>
              <w:top w:val="single" w:sz="4" w:space="0" w:color="auto"/>
              <w:left w:val="single" w:sz="4" w:space="0" w:color="auto"/>
              <w:bottom w:val="single" w:sz="4" w:space="0" w:color="auto"/>
              <w:right w:val="single" w:sz="4" w:space="0" w:color="auto"/>
            </w:tcBorders>
            <w:vAlign w:val="bottom"/>
            <w:hideMark/>
          </w:tcPr>
          <w:p w14:paraId="72474815" w14:textId="77777777" w:rsidR="003A1DC2" w:rsidRPr="00116D0B" w:rsidRDefault="003A1DC2" w:rsidP="00C27173">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Reduced crime rate after jobs were created for youths from CPD sessions</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33A5551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3" w:type="pct"/>
            <w:tcBorders>
              <w:top w:val="single" w:sz="4" w:space="0" w:color="auto"/>
              <w:left w:val="single" w:sz="4" w:space="0" w:color="auto"/>
              <w:bottom w:val="single" w:sz="4" w:space="0" w:color="auto"/>
              <w:right w:val="single" w:sz="4" w:space="0" w:color="auto"/>
            </w:tcBorders>
            <w:noWrap/>
            <w:vAlign w:val="bottom"/>
            <w:hideMark/>
          </w:tcPr>
          <w:p w14:paraId="68BE898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4" w:type="pct"/>
            <w:tcBorders>
              <w:top w:val="single" w:sz="4" w:space="0" w:color="auto"/>
              <w:left w:val="single" w:sz="4" w:space="0" w:color="auto"/>
              <w:bottom w:val="single" w:sz="4" w:space="0" w:color="auto"/>
              <w:right w:val="single" w:sz="4" w:space="0" w:color="auto"/>
            </w:tcBorders>
            <w:noWrap/>
            <w:vAlign w:val="bottom"/>
            <w:hideMark/>
          </w:tcPr>
          <w:p w14:paraId="70AE098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2" w:type="pct"/>
            <w:gridSpan w:val="2"/>
            <w:tcBorders>
              <w:top w:val="single" w:sz="4" w:space="0" w:color="auto"/>
              <w:left w:val="single" w:sz="4" w:space="0" w:color="auto"/>
              <w:bottom w:val="single" w:sz="4" w:space="0" w:color="auto"/>
              <w:right w:val="single" w:sz="4" w:space="0" w:color="auto"/>
            </w:tcBorders>
            <w:noWrap/>
            <w:vAlign w:val="bottom"/>
            <w:hideMark/>
          </w:tcPr>
          <w:p w14:paraId="5FAF8C6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6CAB27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10" w:type="pct"/>
            <w:tcBorders>
              <w:top w:val="single" w:sz="4" w:space="0" w:color="auto"/>
              <w:left w:val="single" w:sz="4" w:space="0" w:color="auto"/>
              <w:bottom w:val="single" w:sz="4" w:space="0" w:color="auto"/>
              <w:right w:val="single" w:sz="4" w:space="0" w:color="auto"/>
            </w:tcBorders>
            <w:noWrap/>
            <w:vAlign w:val="bottom"/>
            <w:hideMark/>
          </w:tcPr>
          <w:p w14:paraId="7D15A8F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07" w:type="pct"/>
            <w:gridSpan w:val="2"/>
            <w:tcBorders>
              <w:top w:val="single" w:sz="4" w:space="0" w:color="auto"/>
              <w:left w:val="single" w:sz="4" w:space="0" w:color="auto"/>
              <w:bottom w:val="single" w:sz="4" w:space="0" w:color="auto"/>
              <w:right w:val="single" w:sz="4" w:space="0" w:color="auto"/>
            </w:tcBorders>
            <w:noWrap/>
            <w:vAlign w:val="bottom"/>
            <w:hideMark/>
          </w:tcPr>
          <w:p w14:paraId="4300EAE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w:t>
            </w:r>
          </w:p>
        </w:tc>
        <w:tc>
          <w:tcPr>
            <w:tcW w:w="427" w:type="pct"/>
            <w:tcBorders>
              <w:top w:val="single" w:sz="4" w:space="0" w:color="auto"/>
              <w:left w:val="single" w:sz="4" w:space="0" w:color="auto"/>
              <w:bottom w:val="single" w:sz="4" w:space="0" w:color="auto"/>
              <w:right w:val="single" w:sz="4" w:space="0" w:color="auto"/>
            </w:tcBorders>
            <w:noWrap/>
            <w:vAlign w:val="bottom"/>
            <w:hideMark/>
          </w:tcPr>
          <w:p w14:paraId="154120B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26" w:type="pct"/>
            <w:tcBorders>
              <w:top w:val="single" w:sz="4" w:space="0" w:color="auto"/>
              <w:left w:val="single" w:sz="4" w:space="0" w:color="auto"/>
              <w:bottom w:val="single" w:sz="4" w:space="0" w:color="auto"/>
              <w:right w:val="single" w:sz="4" w:space="0" w:color="auto"/>
            </w:tcBorders>
            <w:noWrap/>
            <w:vAlign w:val="bottom"/>
            <w:hideMark/>
          </w:tcPr>
          <w:p w14:paraId="7E90390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r>
      <w:tr w:rsidR="003A1DC2" w:rsidRPr="00116D0B" w14:paraId="3F2728A4" w14:textId="77777777" w:rsidTr="00CB4DA9">
        <w:trPr>
          <w:trHeight w:val="377"/>
        </w:trPr>
        <w:tc>
          <w:tcPr>
            <w:tcW w:w="2441" w:type="pct"/>
            <w:gridSpan w:val="5"/>
            <w:tcBorders>
              <w:top w:val="single" w:sz="4" w:space="0" w:color="auto"/>
              <w:left w:val="single" w:sz="4" w:space="0" w:color="auto"/>
              <w:bottom w:val="single" w:sz="4" w:space="0" w:color="auto"/>
              <w:right w:val="single" w:sz="4" w:space="0" w:color="auto"/>
            </w:tcBorders>
            <w:shd w:val="clear" w:color="549E39" w:fill="549E39"/>
            <w:vAlign w:val="bottom"/>
            <w:hideMark/>
          </w:tcPr>
          <w:p w14:paraId="469F303A" w14:textId="7662E3FE"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If Yes, Why? Kindly mention the perceived reasons.</w:t>
            </w:r>
          </w:p>
        </w:tc>
        <w:tc>
          <w:tcPr>
            <w:tcW w:w="788"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40A062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809"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F9ABAE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962"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1E019E6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Grand Total</w:t>
            </w:r>
          </w:p>
        </w:tc>
      </w:tr>
      <w:tr w:rsidR="003A1DC2" w:rsidRPr="00116D0B" w14:paraId="44DC118A" w14:textId="77777777" w:rsidTr="00CB4DA9">
        <w:trPr>
          <w:trHeight w:val="179"/>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5C4EF72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Vigilante group activity in the community</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5C6BF89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45.3%</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352BC0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45.1%</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6A7FD35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45.2%</w:t>
            </w:r>
          </w:p>
        </w:tc>
      </w:tr>
      <w:tr w:rsidR="003A1DC2" w:rsidRPr="00116D0B" w14:paraId="49FC10DB" w14:textId="77777777" w:rsidTr="00CB4DA9">
        <w:trPr>
          <w:trHeight w:val="41"/>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4999BFE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Community members and leaders live in unity</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2A64334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31.7%</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610EDD6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31.0%</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12510A1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31.3%</w:t>
            </w:r>
          </w:p>
        </w:tc>
      </w:tr>
      <w:tr w:rsidR="003A1DC2" w:rsidRPr="00116D0B" w14:paraId="476D27BE" w14:textId="77777777" w:rsidTr="00CB4DA9">
        <w:trPr>
          <w:trHeight w:val="350"/>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661F83D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Government provided security to our community</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62129B1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5.6%</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7ED57B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6.5%</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5EF3BB8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6.1%</w:t>
            </w:r>
          </w:p>
        </w:tc>
      </w:tr>
      <w:tr w:rsidR="003A1DC2" w:rsidRPr="00116D0B" w14:paraId="690FAA1B" w14:textId="77777777" w:rsidTr="00CB4DA9">
        <w:trPr>
          <w:trHeight w:val="41"/>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419A82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 incidence of kidnapping and/or theft</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5F96308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1FD16B4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7.6%</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400DB61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w:t>
            </w:r>
          </w:p>
        </w:tc>
      </w:tr>
      <w:tr w:rsidR="003A1DC2" w:rsidRPr="00116D0B" w14:paraId="0F56EC7E" w14:textId="77777777" w:rsidTr="00CB4DA9">
        <w:trPr>
          <w:trHeight w:val="170"/>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18FDC38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Because of our religion and/or language</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5A42AC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5.6%</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4AEE9B8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4.9%</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3ED1BD4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w:t>
            </w:r>
          </w:p>
        </w:tc>
      </w:tr>
      <w:tr w:rsidR="003A1DC2" w:rsidRPr="00116D0B" w14:paraId="7F8AE194" w14:textId="77777777" w:rsidTr="00CB4DA9">
        <w:trPr>
          <w:trHeight w:val="41"/>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14BB4AE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CPD sessions taught us to live in peace with one another</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703480E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29426F6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3.8%</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74B9309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w:t>
            </w:r>
          </w:p>
        </w:tc>
      </w:tr>
      <w:tr w:rsidR="003A1DC2" w:rsidRPr="00116D0B" w14:paraId="5C261B75" w14:textId="77777777" w:rsidTr="00CB4DA9">
        <w:trPr>
          <w:trHeight w:val="41"/>
        </w:trPr>
        <w:tc>
          <w:tcPr>
            <w:tcW w:w="2441" w:type="pct"/>
            <w:gridSpan w:val="5"/>
            <w:tcBorders>
              <w:top w:val="single" w:sz="4" w:space="0" w:color="auto"/>
              <w:left w:val="single" w:sz="4" w:space="0" w:color="auto"/>
              <w:bottom w:val="single" w:sz="4" w:space="0" w:color="auto"/>
              <w:right w:val="single" w:sz="4" w:space="0" w:color="auto"/>
            </w:tcBorders>
            <w:vAlign w:val="bottom"/>
            <w:hideMark/>
          </w:tcPr>
          <w:p w14:paraId="0DFCF65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Reduced crime rate after jobs were created for youths from CPD sessions</w:t>
            </w:r>
          </w:p>
        </w:tc>
        <w:tc>
          <w:tcPr>
            <w:tcW w:w="788" w:type="pct"/>
            <w:gridSpan w:val="2"/>
            <w:tcBorders>
              <w:top w:val="single" w:sz="4" w:space="0" w:color="auto"/>
              <w:left w:val="single" w:sz="4" w:space="0" w:color="auto"/>
              <w:bottom w:val="single" w:sz="4" w:space="0" w:color="auto"/>
              <w:right w:val="single" w:sz="4" w:space="0" w:color="auto"/>
            </w:tcBorders>
            <w:noWrap/>
            <w:vAlign w:val="bottom"/>
            <w:hideMark/>
          </w:tcPr>
          <w:p w14:paraId="3C83EA2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c>
          <w:tcPr>
            <w:tcW w:w="809" w:type="pct"/>
            <w:gridSpan w:val="2"/>
            <w:tcBorders>
              <w:top w:val="single" w:sz="4" w:space="0" w:color="auto"/>
              <w:left w:val="single" w:sz="4" w:space="0" w:color="auto"/>
              <w:bottom w:val="single" w:sz="4" w:space="0" w:color="auto"/>
              <w:right w:val="single" w:sz="4" w:space="0" w:color="auto"/>
            </w:tcBorders>
            <w:noWrap/>
            <w:vAlign w:val="bottom"/>
            <w:hideMark/>
          </w:tcPr>
          <w:p w14:paraId="2BBBE0D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w:t>
            </w:r>
          </w:p>
        </w:tc>
        <w:tc>
          <w:tcPr>
            <w:tcW w:w="962" w:type="pct"/>
            <w:gridSpan w:val="3"/>
            <w:tcBorders>
              <w:top w:val="single" w:sz="4" w:space="0" w:color="auto"/>
              <w:left w:val="single" w:sz="4" w:space="0" w:color="auto"/>
              <w:bottom w:val="single" w:sz="4" w:space="0" w:color="auto"/>
              <w:right w:val="single" w:sz="4" w:space="0" w:color="auto"/>
            </w:tcBorders>
            <w:noWrap/>
            <w:vAlign w:val="bottom"/>
            <w:hideMark/>
          </w:tcPr>
          <w:p w14:paraId="61AD9B2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r>
    </w:tbl>
    <w:p w14:paraId="15C82F7B" w14:textId="77777777" w:rsidR="00C27173" w:rsidRDefault="00C27173" w:rsidP="00C27173">
      <w:pPr>
        <w:pStyle w:val="Caption"/>
      </w:pPr>
    </w:p>
    <w:p w14:paraId="6A5B4619" w14:textId="53ED98D6" w:rsidR="00CB4DA9" w:rsidRPr="00C27173" w:rsidRDefault="00CB4DA9" w:rsidP="00C27173">
      <w:pPr>
        <w:spacing w:after="240" w:line="276" w:lineRule="auto"/>
        <w:jc w:val="both"/>
        <w:rPr>
          <w:rFonts w:ascii="Garamond" w:hAnsi="Garamond"/>
          <w:i/>
          <w:iCs/>
          <w:sz w:val="24"/>
          <w:szCs w:val="24"/>
        </w:rPr>
      </w:pPr>
      <w:r w:rsidRPr="00C27173">
        <w:rPr>
          <w:rFonts w:ascii="Garamond" w:hAnsi="Garamond"/>
          <w:sz w:val="24"/>
          <w:szCs w:val="24"/>
        </w:rPr>
        <w:t xml:space="preserve">The evaluation also explored reasons to </w:t>
      </w:r>
      <w:r w:rsidR="0065164D" w:rsidRPr="00C27173">
        <w:rPr>
          <w:rFonts w:ascii="Garamond" w:hAnsi="Garamond"/>
          <w:sz w:val="24"/>
          <w:szCs w:val="24"/>
        </w:rPr>
        <w:t>why some respondents</w:t>
      </w:r>
      <w:r w:rsidRPr="00C27173">
        <w:rPr>
          <w:rFonts w:ascii="Garamond" w:hAnsi="Garamond"/>
          <w:sz w:val="24"/>
          <w:szCs w:val="24"/>
        </w:rPr>
        <w:t xml:space="preserve"> did not feel safe in their communities. The primary reasons centered on security concerns. Overall, a sizeable proportion (40.0%) mentioned kidnappings as a reason for feeling unsafe. Additionally, the lack of a visible government security presence (21.1%) and attacks from Boko Haram (BH) (12.6%) were also cited as concerns. There were some variations in reasons across locations. For instance, in </w:t>
      </w:r>
      <w:proofErr w:type="spellStart"/>
      <w:r w:rsidRPr="00C27173">
        <w:rPr>
          <w:rFonts w:ascii="Garamond" w:hAnsi="Garamond"/>
          <w:sz w:val="24"/>
          <w:szCs w:val="24"/>
        </w:rPr>
        <w:t>Garta</w:t>
      </w:r>
      <w:proofErr w:type="spellEnd"/>
      <w:r w:rsidRPr="00C27173">
        <w:rPr>
          <w:rFonts w:ascii="Garamond" w:hAnsi="Garamond"/>
          <w:sz w:val="24"/>
          <w:szCs w:val="24"/>
        </w:rPr>
        <w:t>/</w:t>
      </w:r>
      <w:proofErr w:type="spellStart"/>
      <w:r w:rsidRPr="00C27173">
        <w:rPr>
          <w:rFonts w:ascii="Garamond" w:hAnsi="Garamond"/>
          <w:sz w:val="24"/>
          <w:szCs w:val="24"/>
        </w:rPr>
        <w:t>Ghunchi</w:t>
      </w:r>
      <w:proofErr w:type="spellEnd"/>
      <w:r w:rsidRPr="00C27173">
        <w:rPr>
          <w:rFonts w:ascii="Garamond" w:hAnsi="Garamond"/>
          <w:sz w:val="24"/>
          <w:szCs w:val="24"/>
        </w:rPr>
        <w:t xml:space="preserve">, the major concern was the </w:t>
      </w:r>
      <w:r w:rsidRPr="00C27173">
        <w:rPr>
          <w:rFonts w:ascii="Garamond" w:hAnsi="Garamond"/>
          <w:sz w:val="24"/>
          <w:szCs w:val="24"/>
        </w:rPr>
        <w:lastRenderedPageBreak/>
        <w:t xml:space="preserve">incidences of Kidnapping (80%), whereas </w:t>
      </w:r>
      <w:r w:rsidR="00592FE2" w:rsidRPr="00C27173">
        <w:rPr>
          <w:rFonts w:ascii="Garamond" w:hAnsi="Garamond"/>
          <w:sz w:val="24"/>
          <w:szCs w:val="24"/>
        </w:rPr>
        <w:t>n</w:t>
      </w:r>
      <w:r w:rsidRPr="00C27173">
        <w:rPr>
          <w:rFonts w:ascii="Garamond" w:hAnsi="Garamond"/>
          <w:sz w:val="24"/>
          <w:szCs w:val="24"/>
        </w:rPr>
        <w:t>o presence of government security w</w:t>
      </w:r>
      <w:r w:rsidR="00592FE2" w:rsidRPr="00C27173">
        <w:rPr>
          <w:rFonts w:ascii="Garamond" w:hAnsi="Garamond"/>
          <w:sz w:val="24"/>
          <w:szCs w:val="24"/>
        </w:rPr>
        <w:t>as</w:t>
      </w:r>
      <w:r w:rsidRPr="00C27173">
        <w:rPr>
          <w:rFonts w:ascii="Garamond" w:hAnsi="Garamond"/>
          <w:sz w:val="24"/>
          <w:szCs w:val="24"/>
        </w:rPr>
        <w:t xml:space="preserve"> an overwhelming concern in Sina/</w:t>
      </w:r>
      <w:proofErr w:type="spellStart"/>
      <w:r w:rsidRPr="00C27173">
        <w:rPr>
          <w:rFonts w:ascii="Garamond" w:hAnsi="Garamond"/>
          <w:sz w:val="24"/>
          <w:szCs w:val="24"/>
        </w:rPr>
        <w:t>kamale</w:t>
      </w:r>
      <w:proofErr w:type="spellEnd"/>
      <w:r w:rsidRPr="00C27173">
        <w:rPr>
          <w:rFonts w:ascii="Garamond" w:hAnsi="Garamond"/>
          <w:sz w:val="24"/>
          <w:szCs w:val="24"/>
        </w:rPr>
        <w:t>/</w:t>
      </w:r>
      <w:proofErr w:type="spellStart"/>
      <w:r w:rsidRPr="00C27173">
        <w:rPr>
          <w:rFonts w:ascii="Garamond" w:hAnsi="Garamond"/>
          <w:sz w:val="24"/>
          <w:szCs w:val="24"/>
        </w:rPr>
        <w:t>Kwande</w:t>
      </w:r>
      <w:proofErr w:type="spellEnd"/>
      <w:r w:rsidRPr="00C27173">
        <w:rPr>
          <w:rFonts w:ascii="Garamond" w:hAnsi="Garamond"/>
          <w:sz w:val="24"/>
          <w:szCs w:val="24"/>
        </w:rPr>
        <w:t xml:space="preserve"> (100.0%) </w:t>
      </w:r>
      <w:r w:rsidR="00C27173" w:rsidRPr="00C27173">
        <w:rPr>
          <w:rFonts w:ascii="Garamond" w:hAnsi="Garamond"/>
          <w:sz w:val="24"/>
          <w:szCs w:val="24"/>
        </w:rPr>
        <w:t>and home</w:t>
      </w:r>
      <w:r w:rsidRPr="00C27173">
        <w:rPr>
          <w:rFonts w:ascii="Garamond" w:hAnsi="Garamond"/>
          <w:sz w:val="24"/>
          <w:szCs w:val="24"/>
        </w:rPr>
        <w:t xml:space="preserve"> </w:t>
      </w:r>
      <w:r w:rsidR="00592FE2" w:rsidRPr="00C27173">
        <w:rPr>
          <w:rFonts w:ascii="Garamond" w:hAnsi="Garamond"/>
          <w:sz w:val="24"/>
          <w:szCs w:val="24"/>
        </w:rPr>
        <w:t>burglary</w:t>
      </w:r>
      <w:r w:rsidRPr="00C27173">
        <w:rPr>
          <w:rFonts w:ascii="Garamond" w:hAnsi="Garamond"/>
          <w:sz w:val="24"/>
          <w:szCs w:val="24"/>
        </w:rPr>
        <w:t xml:space="preserve"> was the major problem for </w:t>
      </w:r>
      <w:proofErr w:type="spellStart"/>
      <w:r w:rsidRPr="00C27173">
        <w:rPr>
          <w:rFonts w:ascii="Garamond" w:hAnsi="Garamond"/>
          <w:sz w:val="24"/>
          <w:szCs w:val="24"/>
        </w:rPr>
        <w:t>Wamblimi</w:t>
      </w:r>
      <w:proofErr w:type="spellEnd"/>
      <w:r w:rsidRPr="00C27173">
        <w:rPr>
          <w:rFonts w:ascii="Garamond" w:hAnsi="Garamond"/>
          <w:sz w:val="24"/>
          <w:szCs w:val="24"/>
        </w:rPr>
        <w:t>/Tilli (80%). When examining the data by gender, there were</w:t>
      </w:r>
      <w:r w:rsidR="00592FE2" w:rsidRPr="00C27173">
        <w:rPr>
          <w:rFonts w:ascii="Garamond" w:hAnsi="Garamond"/>
          <w:sz w:val="24"/>
          <w:szCs w:val="24"/>
        </w:rPr>
        <w:t xml:space="preserve"> no </w:t>
      </w:r>
      <w:r w:rsidRPr="00C27173">
        <w:rPr>
          <w:rFonts w:ascii="Garamond" w:hAnsi="Garamond"/>
          <w:sz w:val="24"/>
          <w:szCs w:val="24"/>
        </w:rPr>
        <w:t>significant differences in the reasons provided. Both women and men mentioned similar security concerns as contributing to their feelings unsafe.</w:t>
      </w:r>
    </w:p>
    <w:p w14:paraId="7AEDC5BA" w14:textId="48A5CF24" w:rsidR="003A1DC2" w:rsidRPr="00116D0B" w:rsidRDefault="003A1DC2" w:rsidP="00C27173">
      <w:pPr>
        <w:pStyle w:val="Caption"/>
      </w:pPr>
      <w:bookmarkStart w:id="80" w:name="_Toc166704046"/>
      <w:r w:rsidRPr="00116D0B">
        <w:t xml:space="preserve">Table </w:t>
      </w:r>
      <w:fldSimple w:instr=" SEQ Table \* ARABIC ">
        <w:r w:rsidR="00116D0B" w:rsidRPr="00116D0B">
          <w:rPr>
            <w:noProof/>
          </w:rPr>
          <w:t>23</w:t>
        </w:r>
      </w:fldSimple>
      <w:r w:rsidRPr="00116D0B">
        <w:t xml:space="preserve"> </w:t>
      </w:r>
      <w:r w:rsidR="00592FE2" w:rsidRPr="00116D0B">
        <w:t>Perceived</w:t>
      </w:r>
      <w:r w:rsidRPr="00116D0B">
        <w:t xml:space="preserve"> reasons of feeling unsafe in the community</w:t>
      </w:r>
      <w:bookmarkEnd w:id="80"/>
    </w:p>
    <w:tbl>
      <w:tblPr>
        <w:tblW w:w="5000" w:type="pct"/>
        <w:tblLook w:val="04A0" w:firstRow="1" w:lastRow="0" w:firstColumn="1" w:lastColumn="0" w:noHBand="0" w:noVBand="1"/>
      </w:tblPr>
      <w:tblGrid>
        <w:gridCol w:w="3715"/>
        <w:gridCol w:w="942"/>
        <w:gridCol w:w="204"/>
        <w:gridCol w:w="756"/>
        <w:gridCol w:w="811"/>
        <w:gridCol w:w="372"/>
        <w:gridCol w:w="940"/>
        <w:gridCol w:w="255"/>
        <w:gridCol w:w="685"/>
        <w:gridCol w:w="1110"/>
      </w:tblGrid>
      <w:tr w:rsidR="003A1DC2" w:rsidRPr="00116D0B" w14:paraId="4CCA4392" w14:textId="77777777" w:rsidTr="003A1DC2">
        <w:trPr>
          <w:trHeight w:val="1219"/>
        </w:trPr>
        <w:tc>
          <w:tcPr>
            <w:tcW w:w="1898"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1B3615E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If No, why not?  Kindly mention the perceived reasons.</w:t>
            </w:r>
          </w:p>
        </w:tc>
        <w:tc>
          <w:tcPr>
            <w:tcW w:w="481"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04F3CB77"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90"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17D147B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604"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52B8BC6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80"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14217AFD"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80"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3780A2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566"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0F29AC78"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137292A3" w14:textId="77777777" w:rsidTr="003A1DC2">
        <w:trPr>
          <w:trHeight w:val="300"/>
        </w:trPr>
        <w:tc>
          <w:tcPr>
            <w:tcW w:w="1898" w:type="pct"/>
            <w:tcBorders>
              <w:top w:val="single" w:sz="4" w:space="0" w:color="auto"/>
              <w:left w:val="single" w:sz="4" w:space="0" w:color="auto"/>
              <w:bottom w:val="single" w:sz="4" w:space="0" w:color="auto"/>
              <w:right w:val="single" w:sz="4" w:space="0" w:color="auto"/>
            </w:tcBorders>
            <w:noWrap/>
            <w:vAlign w:val="bottom"/>
            <w:hideMark/>
          </w:tcPr>
          <w:p w14:paraId="068F18E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Incidences of kidnapping</w:t>
            </w:r>
          </w:p>
        </w:tc>
        <w:tc>
          <w:tcPr>
            <w:tcW w:w="481" w:type="pct"/>
            <w:tcBorders>
              <w:top w:val="single" w:sz="4" w:space="0" w:color="auto"/>
              <w:left w:val="single" w:sz="4" w:space="0" w:color="auto"/>
              <w:bottom w:val="single" w:sz="4" w:space="0" w:color="auto"/>
              <w:right w:val="single" w:sz="4" w:space="0" w:color="auto"/>
            </w:tcBorders>
            <w:noWrap/>
            <w:vAlign w:val="bottom"/>
            <w:hideMark/>
          </w:tcPr>
          <w:p w14:paraId="3ABBEA4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80.0%</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5616954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604" w:type="pct"/>
            <w:gridSpan w:val="2"/>
            <w:tcBorders>
              <w:top w:val="single" w:sz="4" w:space="0" w:color="auto"/>
              <w:left w:val="single" w:sz="4" w:space="0" w:color="auto"/>
              <w:bottom w:val="single" w:sz="4" w:space="0" w:color="auto"/>
              <w:right w:val="single" w:sz="4" w:space="0" w:color="auto"/>
            </w:tcBorders>
            <w:noWrap/>
            <w:vAlign w:val="bottom"/>
            <w:hideMark/>
          </w:tcPr>
          <w:p w14:paraId="3B68D00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3F02831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35.3%</w:t>
            </w:r>
          </w:p>
        </w:tc>
        <w:tc>
          <w:tcPr>
            <w:tcW w:w="480" w:type="pct"/>
            <w:gridSpan w:val="2"/>
            <w:tcBorders>
              <w:top w:val="single" w:sz="4" w:space="0" w:color="auto"/>
              <w:left w:val="single" w:sz="4" w:space="0" w:color="auto"/>
              <w:bottom w:val="single" w:sz="4" w:space="0" w:color="auto"/>
              <w:right w:val="single" w:sz="4" w:space="0" w:color="auto"/>
            </w:tcBorders>
            <w:noWrap/>
            <w:vAlign w:val="bottom"/>
            <w:hideMark/>
          </w:tcPr>
          <w:p w14:paraId="5E6B4F82"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33.3%</w:t>
            </w:r>
          </w:p>
        </w:tc>
        <w:tc>
          <w:tcPr>
            <w:tcW w:w="566" w:type="pct"/>
            <w:tcBorders>
              <w:top w:val="single" w:sz="4" w:space="0" w:color="auto"/>
              <w:left w:val="single" w:sz="4" w:space="0" w:color="auto"/>
              <w:bottom w:val="single" w:sz="4" w:space="0" w:color="auto"/>
              <w:right w:val="single" w:sz="4" w:space="0" w:color="auto"/>
            </w:tcBorders>
            <w:noWrap/>
            <w:vAlign w:val="bottom"/>
            <w:hideMark/>
          </w:tcPr>
          <w:p w14:paraId="55D625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40.0%</w:t>
            </w:r>
          </w:p>
        </w:tc>
      </w:tr>
      <w:tr w:rsidR="003A1DC2" w:rsidRPr="00116D0B" w14:paraId="52E5A93D" w14:textId="77777777" w:rsidTr="003A1DC2">
        <w:trPr>
          <w:trHeight w:val="600"/>
        </w:trPr>
        <w:tc>
          <w:tcPr>
            <w:tcW w:w="1898" w:type="pct"/>
            <w:tcBorders>
              <w:top w:val="single" w:sz="4" w:space="0" w:color="auto"/>
              <w:left w:val="single" w:sz="4" w:space="0" w:color="auto"/>
              <w:bottom w:val="single" w:sz="4" w:space="0" w:color="auto"/>
              <w:right w:val="single" w:sz="4" w:space="0" w:color="auto"/>
            </w:tcBorders>
            <w:vAlign w:val="bottom"/>
            <w:hideMark/>
          </w:tcPr>
          <w:p w14:paraId="2D703BE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 presence of government security agents</w:t>
            </w:r>
          </w:p>
        </w:tc>
        <w:tc>
          <w:tcPr>
            <w:tcW w:w="481" w:type="pct"/>
            <w:tcBorders>
              <w:top w:val="single" w:sz="4" w:space="0" w:color="auto"/>
              <w:left w:val="single" w:sz="4" w:space="0" w:color="auto"/>
              <w:bottom w:val="single" w:sz="4" w:space="0" w:color="auto"/>
              <w:right w:val="single" w:sz="4" w:space="0" w:color="auto"/>
            </w:tcBorders>
            <w:noWrap/>
            <w:vAlign w:val="bottom"/>
            <w:hideMark/>
          </w:tcPr>
          <w:p w14:paraId="45B7BC3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34BCE1B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604" w:type="pct"/>
            <w:gridSpan w:val="2"/>
            <w:tcBorders>
              <w:top w:val="single" w:sz="4" w:space="0" w:color="auto"/>
              <w:left w:val="single" w:sz="4" w:space="0" w:color="auto"/>
              <w:bottom w:val="single" w:sz="4" w:space="0" w:color="auto"/>
              <w:right w:val="single" w:sz="4" w:space="0" w:color="auto"/>
            </w:tcBorders>
            <w:noWrap/>
            <w:vAlign w:val="bottom"/>
            <w:hideMark/>
          </w:tcPr>
          <w:p w14:paraId="4D2B67B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1535DF1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22.1%</w:t>
            </w:r>
          </w:p>
        </w:tc>
        <w:tc>
          <w:tcPr>
            <w:tcW w:w="480" w:type="pct"/>
            <w:gridSpan w:val="2"/>
            <w:tcBorders>
              <w:top w:val="single" w:sz="4" w:space="0" w:color="auto"/>
              <w:left w:val="single" w:sz="4" w:space="0" w:color="auto"/>
              <w:bottom w:val="single" w:sz="4" w:space="0" w:color="auto"/>
              <w:right w:val="single" w:sz="4" w:space="0" w:color="auto"/>
            </w:tcBorders>
            <w:noWrap/>
            <w:vAlign w:val="bottom"/>
            <w:hideMark/>
          </w:tcPr>
          <w:p w14:paraId="4EBB935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16.7%</w:t>
            </w:r>
          </w:p>
        </w:tc>
        <w:tc>
          <w:tcPr>
            <w:tcW w:w="566" w:type="pct"/>
            <w:tcBorders>
              <w:top w:val="single" w:sz="4" w:space="0" w:color="auto"/>
              <w:left w:val="single" w:sz="4" w:space="0" w:color="auto"/>
              <w:bottom w:val="single" w:sz="4" w:space="0" w:color="auto"/>
              <w:right w:val="single" w:sz="4" w:space="0" w:color="auto"/>
            </w:tcBorders>
            <w:noWrap/>
            <w:vAlign w:val="bottom"/>
            <w:hideMark/>
          </w:tcPr>
          <w:p w14:paraId="0D10A70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21.1%</w:t>
            </w:r>
          </w:p>
        </w:tc>
      </w:tr>
      <w:tr w:rsidR="003A1DC2" w:rsidRPr="00116D0B" w14:paraId="4D875130" w14:textId="77777777" w:rsidTr="003A1DC2">
        <w:trPr>
          <w:trHeight w:val="300"/>
        </w:trPr>
        <w:tc>
          <w:tcPr>
            <w:tcW w:w="1898" w:type="pct"/>
            <w:tcBorders>
              <w:top w:val="single" w:sz="4" w:space="0" w:color="auto"/>
              <w:left w:val="single" w:sz="4" w:space="0" w:color="auto"/>
              <w:bottom w:val="single" w:sz="4" w:space="0" w:color="auto"/>
              <w:right w:val="single" w:sz="4" w:space="0" w:color="auto"/>
            </w:tcBorders>
            <w:noWrap/>
            <w:vAlign w:val="bottom"/>
            <w:hideMark/>
          </w:tcPr>
          <w:p w14:paraId="4F9A6B3E" w14:textId="79337D1C"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 xml:space="preserve">Home </w:t>
            </w:r>
            <w:r w:rsidR="00592FE2" w:rsidRPr="00116D0B">
              <w:rPr>
                <w:rFonts w:ascii="Garamond" w:eastAsia="Times New Roman" w:hAnsi="Garamond" w:cs="Calibri"/>
                <w:color w:val="000000"/>
                <w:sz w:val="24"/>
                <w:szCs w:val="24"/>
              </w:rPr>
              <w:t>burglary</w:t>
            </w:r>
            <w:r w:rsidRPr="00116D0B">
              <w:rPr>
                <w:rFonts w:ascii="Garamond" w:eastAsia="Times New Roman" w:hAnsi="Garamond" w:cs="Calibri"/>
                <w:color w:val="000000"/>
                <w:sz w:val="24"/>
                <w:szCs w:val="24"/>
              </w:rPr>
              <w:t>/petty thieves</w:t>
            </w:r>
          </w:p>
        </w:tc>
        <w:tc>
          <w:tcPr>
            <w:tcW w:w="481" w:type="pct"/>
            <w:tcBorders>
              <w:top w:val="single" w:sz="4" w:space="0" w:color="auto"/>
              <w:left w:val="single" w:sz="4" w:space="0" w:color="auto"/>
              <w:bottom w:val="single" w:sz="4" w:space="0" w:color="auto"/>
              <w:right w:val="single" w:sz="4" w:space="0" w:color="auto"/>
            </w:tcBorders>
            <w:noWrap/>
            <w:vAlign w:val="bottom"/>
            <w:hideMark/>
          </w:tcPr>
          <w:p w14:paraId="7210FA7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1064C7D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80.0%</w:t>
            </w:r>
          </w:p>
        </w:tc>
        <w:tc>
          <w:tcPr>
            <w:tcW w:w="604" w:type="pct"/>
            <w:gridSpan w:val="2"/>
            <w:tcBorders>
              <w:top w:val="single" w:sz="4" w:space="0" w:color="auto"/>
              <w:left w:val="single" w:sz="4" w:space="0" w:color="auto"/>
              <w:bottom w:val="single" w:sz="4" w:space="0" w:color="auto"/>
              <w:right w:val="single" w:sz="4" w:space="0" w:color="auto"/>
            </w:tcBorders>
            <w:noWrap/>
            <w:vAlign w:val="bottom"/>
            <w:hideMark/>
          </w:tcPr>
          <w:p w14:paraId="0553A0F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74538C2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13.2%</w:t>
            </w:r>
          </w:p>
        </w:tc>
        <w:tc>
          <w:tcPr>
            <w:tcW w:w="480" w:type="pct"/>
            <w:gridSpan w:val="2"/>
            <w:tcBorders>
              <w:top w:val="single" w:sz="4" w:space="0" w:color="auto"/>
              <w:left w:val="single" w:sz="4" w:space="0" w:color="auto"/>
              <w:bottom w:val="single" w:sz="4" w:space="0" w:color="auto"/>
              <w:right w:val="single" w:sz="4" w:space="0" w:color="auto"/>
            </w:tcBorders>
            <w:noWrap/>
            <w:vAlign w:val="bottom"/>
            <w:hideMark/>
          </w:tcPr>
          <w:p w14:paraId="4434C59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66" w:type="pct"/>
            <w:tcBorders>
              <w:top w:val="single" w:sz="4" w:space="0" w:color="auto"/>
              <w:left w:val="single" w:sz="4" w:space="0" w:color="auto"/>
              <w:bottom w:val="single" w:sz="4" w:space="0" w:color="auto"/>
              <w:right w:val="single" w:sz="4" w:space="0" w:color="auto"/>
            </w:tcBorders>
            <w:noWrap/>
            <w:vAlign w:val="bottom"/>
            <w:hideMark/>
          </w:tcPr>
          <w:p w14:paraId="378D948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13.7%</w:t>
            </w:r>
          </w:p>
        </w:tc>
      </w:tr>
      <w:tr w:rsidR="003A1DC2" w:rsidRPr="00116D0B" w14:paraId="7F7F53BD" w14:textId="77777777" w:rsidTr="003A1DC2">
        <w:trPr>
          <w:trHeight w:val="300"/>
        </w:trPr>
        <w:tc>
          <w:tcPr>
            <w:tcW w:w="1898" w:type="pct"/>
            <w:tcBorders>
              <w:top w:val="single" w:sz="4" w:space="0" w:color="auto"/>
              <w:left w:val="single" w:sz="4" w:space="0" w:color="auto"/>
              <w:bottom w:val="single" w:sz="4" w:space="0" w:color="auto"/>
              <w:right w:val="single" w:sz="4" w:space="0" w:color="auto"/>
            </w:tcBorders>
            <w:noWrap/>
            <w:vAlign w:val="bottom"/>
            <w:hideMark/>
          </w:tcPr>
          <w:p w14:paraId="5B4271F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Attacks from BH</w:t>
            </w:r>
          </w:p>
        </w:tc>
        <w:tc>
          <w:tcPr>
            <w:tcW w:w="481" w:type="pct"/>
            <w:tcBorders>
              <w:top w:val="single" w:sz="4" w:space="0" w:color="auto"/>
              <w:left w:val="single" w:sz="4" w:space="0" w:color="auto"/>
              <w:bottom w:val="single" w:sz="4" w:space="0" w:color="auto"/>
              <w:right w:val="single" w:sz="4" w:space="0" w:color="auto"/>
            </w:tcBorders>
            <w:noWrap/>
            <w:vAlign w:val="bottom"/>
            <w:hideMark/>
          </w:tcPr>
          <w:p w14:paraId="1F1B985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00AFA8C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604" w:type="pct"/>
            <w:gridSpan w:val="2"/>
            <w:tcBorders>
              <w:top w:val="single" w:sz="4" w:space="0" w:color="auto"/>
              <w:left w:val="single" w:sz="4" w:space="0" w:color="auto"/>
              <w:bottom w:val="single" w:sz="4" w:space="0" w:color="auto"/>
              <w:right w:val="single" w:sz="4" w:space="0" w:color="auto"/>
            </w:tcBorders>
            <w:noWrap/>
            <w:vAlign w:val="bottom"/>
            <w:hideMark/>
          </w:tcPr>
          <w:p w14:paraId="6DEBBBF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079666A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11.8%</w:t>
            </w:r>
          </w:p>
        </w:tc>
        <w:tc>
          <w:tcPr>
            <w:tcW w:w="480" w:type="pct"/>
            <w:gridSpan w:val="2"/>
            <w:tcBorders>
              <w:top w:val="single" w:sz="4" w:space="0" w:color="auto"/>
              <w:left w:val="single" w:sz="4" w:space="0" w:color="auto"/>
              <w:bottom w:val="single" w:sz="4" w:space="0" w:color="auto"/>
              <w:right w:val="single" w:sz="4" w:space="0" w:color="auto"/>
            </w:tcBorders>
            <w:noWrap/>
            <w:vAlign w:val="bottom"/>
            <w:hideMark/>
          </w:tcPr>
          <w:p w14:paraId="2FED8A3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50.0%</w:t>
            </w:r>
          </w:p>
        </w:tc>
        <w:tc>
          <w:tcPr>
            <w:tcW w:w="566" w:type="pct"/>
            <w:tcBorders>
              <w:top w:val="single" w:sz="4" w:space="0" w:color="auto"/>
              <w:left w:val="single" w:sz="4" w:space="0" w:color="auto"/>
              <w:bottom w:val="single" w:sz="4" w:space="0" w:color="auto"/>
              <w:right w:val="single" w:sz="4" w:space="0" w:color="auto"/>
            </w:tcBorders>
            <w:noWrap/>
            <w:vAlign w:val="bottom"/>
            <w:hideMark/>
          </w:tcPr>
          <w:p w14:paraId="46DBF62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12.6%</w:t>
            </w:r>
          </w:p>
        </w:tc>
      </w:tr>
      <w:tr w:rsidR="003A1DC2" w:rsidRPr="00116D0B" w14:paraId="1F5C7F61" w14:textId="77777777" w:rsidTr="003A1DC2">
        <w:trPr>
          <w:trHeight w:val="315"/>
        </w:trPr>
        <w:tc>
          <w:tcPr>
            <w:tcW w:w="1898" w:type="pct"/>
            <w:tcBorders>
              <w:top w:val="single" w:sz="4" w:space="0" w:color="auto"/>
              <w:left w:val="single" w:sz="4" w:space="0" w:color="auto"/>
              <w:bottom w:val="single" w:sz="4" w:space="0" w:color="auto"/>
              <w:right w:val="single" w:sz="4" w:space="0" w:color="auto"/>
            </w:tcBorders>
            <w:noWrap/>
            <w:vAlign w:val="bottom"/>
            <w:hideMark/>
          </w:tcPr>
          <w:p w14:paraId="52BC797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Farmers herders crisis</w:t>
            </w:r>
          </w:p>
        </w:tc>
        <w:tc>
          <w:tcPr>
            <w:tcW w:w="481" w:type="pct"/>
            <w:tcBorders>
              <w:top w:val="single" w:sz="4" w:space="0" w:color="auto"/>
              <w:left w:val="single" w:sz="4" w:space="0" w:color="auto"/>
              <w:bottom w:val="single" w:sz="4" w:space="0" w:color="auto"/>
              <w:right w:val="single" w:sz="4" w:space="0" w:color="auto"/>
            </w:tcBorders>
            <w:noWrap/>
            <w:vAlign w:val="bottom"/>
            <w:hideMark/>
          </w:tcPr>
          <w:p w14:paraId="238D85C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075112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604" w:type="pct"/>
            <w:gridSpan w:val="2"/>
            <w:tcBorders>
              <w:top w:val="single" w:sz="4" w:space="0" w:color="auto"/>
              <w:left w:val="single" w:sz="4" w:space="0" w:color="auto"/>
              <w:bottom w:val="single" w:sz="4" w:space="0" w:color="auto"/>
              <w:right w:val="single" w:sz="4" w:space="0" w:color="auto"/>
            </w:tcBorders>
            <w:noWrap/>
            <w:vAlign w:val="bottom"/>
            <w:hideMark/>
          </w:tcPr>
          <w:p w14:paraId="4C4687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80" w:type="pct"/>
            <w:tcBorders>
              <w:top w:val="single" w:sz="4" w:space="0" w:color="auto"/>
              <w:left w:val="single" w:sz="4" w:space="0" w:color="auto"/>
              <w:bottom w:val="single" w:sz="4" w:space="0" w:color="auto"/>
              <w:right w:val="single" w:sz="4" w:space="0" w:color="auto"/>
            </w:tcBorders>
            <w:noWrap/>
            <w:vAlign w:val="bottom"/>
            <w:hideMark/>
          </w:tcPr>
          <w:p w14:paraId="48D022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17.6%</w:t>
            </w:r>
          </w:p>
        </w:tc>
        <w:tc>
          <w:tcPr>
            <w:tcW w:w="480" w:type="pct"/>
            <w:gridSpan w:val="2"/>
            <w:tcBorders>
              <w:top w:val="single" w:sz="4" w:space="0" w:color="auto"/>
              <w:left w:val="single" w:sz="4" w:space="0" w:color="auto"/>
              <w:bottom w:val="single" w:sz="4" w:space="0" w:color="auto"/>
              <w:right w:val="single" w:sz="4" w:space="0" w:color="auto"/>
            </w:tcBorders>
            <w:noWrap/>
            <w:vAlign w:val="bottom"/>
            <w:hideMark/>
          </w:tcPr>
          <w:p w14:paraId="73CF72C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566" w:type="pct"/>
            <w:tcBorders>
              <w:top w:val="single" w:sz="4" w:space="0" w:color="auto"/>
              <w:left w:val="single" w:sz="4" w:space="0" w:color="auto"/>
              <w:bottom w:val="single" w:sz="4" w:space="0" w:color="auto"/>
              <w:right w:val="single" w:sz="4" w:space="0" w:color="auto"/>
            </w:tcBorders>
            <w:noWrap/>
            <w:vAlign w:val="bottom"/>
            <w:hideMark/>
          </w:tcPr>
          <w:p w14:paraId="787443D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12.6%</w:t>
            </w:r>
          </w:p>
        </w:tc>
      </w:tr>
      <w:tr w:rsidR="003A1DC2" w:rsidRPr="00116D0B" w14:paraId="3F8DDCC0" w14:textId="77777777" w:rsidTr="003A1DC2">
        <w:trPr>
          <w:trHeight w:val="43"/>
        </w:trPr>
        <w:tc>
          <w:tcPr>
            <w:tcW w:w="2483" w:type="pct"/>
            <w:gridSpan w:val="3"/>
            <w:tcBorders>
              <w:top w:val="single" w:sz="4" w:space="0" w:color="auto"/>
              <w:left w:val="single" w:sz="4" w:space="0" w:color="auto"/>
              <w:bottom w:val="single" w:sz="4" w:space="0" w:color="auto"/>
              <w:right w:val="single" w:sz="4" w:space="0" w:color="auto"/>
            </w:tcBorders>
            <w:shd w:val="clear" w:color="549E39" w:fill="549E39"/>
            <w:vAlign w:val="bottom"/>
            <w:hideMark/>
          </w:tcPr>
          <w:p w14:paraId="3A8F7D1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If No, why not?  Kindly mention the perceived reasons.</w:t>
            </w:r>
          </w:p>
        </w:tc>
        <w:tc>
          <w:tcPr>
            <w:tcW w:w="800"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2DBE8E7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800"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026BF3B4"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917"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0270E1A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Grand Total</w:t>
            </w:r>
          </w:p>
        </w:tc>
      </w:tr>
      <w:tr w:rsidR="003A1DC2" w:rsidRPr="00116D0B" w14:paraId="7E7F9D0B" w14:textId="77777777" w:rsidTr="00F51140">
        <w:trPr>
          <w:trHeight w:val="300"/>
        </w:trPr>
        <w:tc>
          <w:tcPr>
            <w:tcW w:w="2483" w:type="pct"/>
            <w:gridSpan w:val="3"/>
            <w:tcBorders>
              <w:top w:val="single" w:sz="4" w:space="0" w:color="auto"/>
              <w:left w:val="single" w:sz="4" w:space="0" w:color="auto"/>
              <w:bottom w:val="single" w:sz="4" w:space="0" w:color="auto"/>
              <w:right w:val="single" w:sz="4" w:space="0" w:color="auto"/>
            </w:tcBorders>
            <w:noWrap/>
            <w:vAlign w:val="bottom"/>
            <w:hideMark/>
          </w:tcPr>
          <w:p w14:paraId="405A7FB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Incidences of kidnapping</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6AE397F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40.8%</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3849561D"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39.1%</w:t>
            </w:r>
          </w:p>
        </w:tc>
        <w:tc>
          <w:tcPr>
            <w:tcW w:w="917" w:type="pct"/>
            <w:gridSpan w:val="2"/>
            <w:tcBorders>
              <w:top w:val="single" w:sz="4" w:space="0" w:color="auto"/>
              <w:left w:val="single" w:sz="4" w:space="0" w:color="auto"/>
              <w:bottom w:val="single" w:sz="4" w:space="0" w:color="auto"/>
              <w:right w:val="single" w:sz="4" w:space="0" w:color="auto"/>
            </w:tcBorders>
            <w:noWrap/>
            <w:vAlign w:val="bottom"/>
            <w:hideMark/>
          </w:tcPr>
          <w:p w14:paraId="707974B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40.0%</w:t>
            </w:r>
          </w:p>
        </w:tc>
      </w:tr>
      <w:tr w:rsidR="003A1DC2" w:rsidRPr="00116D0B" w14:paraId="1C94A6FF" w14:textId="77777777" w:rsidTr="003A1DC2">
        <w:trPr>
          <w:trHeight w:val="43"/>
        </w:trPr>
        <w:tc>
          <w:tcPr>
            <w:tcW w:w="2483" w:type="pct"/>
            <w:gridSpan w:val="3"/>
            <w:tcBorders>
              <w:top w:val="single" w:sz="4" w:space="0" w:color="auto"/>
              <w:left w:val="single" w:sz="4" w:space="0" w:color="auto"/>
              <w:bottom w:val="single" w:sz="4" w:space="0" w:color="auto"/>
              <w:right w:val="single" w:sz="4" w:space="0" w:color="auto"/>
            </w:tcBorders>
            <w:vAlign w:val="bottom"/>
            <w:hideMark/>
          </w:tcPr>
          <w:p w14:paraId="00B8A5E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 presence of government security agents</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46C1994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18.4%</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0C23585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23.9%</w:t>
            </w:r>
          </w:p>
        </w:tc>
        <w:tc>
          <w:tcPr>
            <w:tcW w:w="917" w:type="pct"/>
            <w:gridSpan w:val="2"/>
            <w:tcBorders>
              <w:top w:val="single" w:sz="4" w:space="0" w:color="auto"/>
              <w:left w:val="single" w:sz="4" w:space="0" w:color="auto"/>
              <w:bottom w:val="single" w:sz="4" w:space="0" w:color="auto"/>
              <w:right w:val="single" w:sz="4" w:space="0" w:color="auto"/>
            </w:tcBorders>
            <w:noWrap/>
            <w:vAlign w:val="bottom"/>
            <w:hideMark/>
          </w:tcPr>
          <w:p w14:paraId="43011BC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21.1%</w:t>
            </w:r>
          </w:p>
        </w:tc>
      </w:tr>
      <w:tr w:rsidR="003A1DC2" w:rsidRPr="00116D0B" w14:paraId="420FDB0F" w14:textId="77777777" w:rsidTr="00F51140">
        <w:trPr>
          <w:trHeight w:val="300"/>
        </w:trPr>
        <w:tc>
          <w:tcPr>
            <w:tcW w:w="2483" w:type="pct"/>
            <w:gridSpan w:val="3"/>
            <w:tcBorders>
              <w:top w:val="single" w:sz="4" w:space="0" w:color="auto"/>
              <w:left w:val="single" w:sz="4" w:space="0" w:color="auto"/>
              <w:bottom w:val="single" w:sz="4" w:space="0" w:color="auto"/>
              <w:right w:val="single" w:sz="4" w:space="0" w:color="auto"/>
            </w:tcBorders>
            <w:noWrap/>
            <w:vAlign w:val="bottom"/>
            <w:hideMark/>
          </w:tcPr>
          <w:p w14:paraId="0DD75377" w14:textId="1FE7B2D3"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 xml:space="preserve">Home </w:t>
            </w:r>
            <w:r w:rsidR="00592FE2" w:rsidRPr="00116D0B">
              <w:rPr>
                <w:rFonts w:ascii="Garamond" w:eastAsia="Times New Roman" w:hAnsi="Garamond" w:cs="Calibri"/>
                <w:color w:val="000000"/>
                <w:sz w:val="24"/>
                <w:szCs w:val="24"/>
              </w:rPr>
              <w:t>burglary</w:t>
            </w:r>
            <w:r w:rsidRPr="00116D0B">
              <w:rPr>
                <w:rFonts w:ascii="Garamond" w:eastAsia="Times New Roman" w:hAnsi="Garamond" w:cs="Calibri"/>
                <w:color w:val="000000"/>
                <w:sz w:val="24"/>
                <w:szCs w:val="24"/>
              </w:rPr>
              <w:t>/petty thieves</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18A9B30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12.2%</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4144FEB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15.2%</w:t>
            </w:r>
          </w:p>
        </w:tc>
        <w:tc>
          <w:tcPr>
            <w:tcW w:w="917" w:type="pct"/>
            <w:gridSpan w:val="2"/>
            <w:tcBorders>
              <w:top w:val="single" w:sz="4" w:space="0" w:color="auto"/>
              <w:left w:val="single" w:sz="4" w:space="0" w:color="auto"/>
              <w:bottom w:val="single" w:sz="4" w:space="0" w:color="auto"/>
              <w:right w:val="single" w:sz="4" w:space="0" w:color="auto"/>
            </w:tcBorders>
            <w:noWrap/>
            <w:vAlign w:val="bottom"/>
            <w:hideMark/>
          </w:tcPr>
          <w:p w14:paraId="0EED562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13.7%</w:t>
            </w:r>
          </w:p>
        </w:tc>
      </w:tr>
      <w:tr w:rsidR="003A1DC2" w:rsidRPr="00116D0B" w14:paraId="2A745025" w14:textId="77777777" w:rsidTr="00F51140">
        <w:trPr>
          <w:trHeight w:val="300"/>
        </w:trPr>
        <w:tc>
          <w:tcPr>
            <w:tcW w:w="2483" w:type="pct"/>
            <w:gridSpan w:val="3"/>
            <w:tcBorders>
              <w:top w:val="single" w:sz="4" w:space="0" w:color="auto"/>
              <w:left w:val="single" w:sz="4" w:space="0" w:color="auto"/>
              <w:bottom w:val="single" w:sz="4" w:space="0" w:color="auto"/>
              <w:right w:val="single" w:sz="4" w:space="0" w:color="auto"/>
            </w:tcBorders>
            <w:noWrap/>
            <w:vAlign w:val="bottom"/>
            <w:hideMark/>
          </w:tcPr>
          <w:p w14:paraId="755398B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Attacks from BH</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23160B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14.3%</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1FC247D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10.9%</w:t>
            </w:r>
          </w:p>
        </w:tc>
        <w:tc>
          <w:tcPr>
            <w:tcW w:w="917" w:type="pct"/>
            <w:gridSpan w:val="2"/>
            <w:tcBorders>
              <w:top w:val="single" w:sz="4" w:space="0" w:color="auto"/>
              <w:left w:val="single" w:sz="4" w:space="0" w:color="auto"/>
              <w:bottom w:val="single" w:sz="4" w:space="0" w:color="auto"/>
              <w:right w:val="single" w:sz="4" w:space="0" w:color="auto"/>
            </w:tcBorders>
            <w:noWrap/>
            <w:vAlign w:val="bottom"/>
            <w:hideMark/>
          </w:tcPr>
          <w:p w14:paraId="7B4BEA9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12.6%</w:t>
            </w:r>
          </w:p>
        </w:tc>
      </w:tr>
      <w:tr w:rsidR="003A1DC2" w:rsidRPr="00116D0B" w14:paraId="0ABB7F24" w14:textId="77777777" w:rsidTr="00F51140">
        <w:trPr>
          <w:trHeight w:val="300"/>
        </w:trPr>
        <w:tc>
          <w:tcPr>
            <w:tcW w:w="2483" w:type="pct"/>
            <w:gridSpan w:val="3"/>
            <w:tcBorders>
              <w:top w:val="single" w:sz="4" w:space="0" w:color="auto"/>
              <w:left w:val="single" w:sz="4" w:space="0" w:color="auto"/>
              <w:bottom w:val="single" w:sz="4" w:space="0" w:color="auto"/>
              <w:right w:val="single" w:sz="4" w:space="0" w:color="auto"/>
            </w:tcBorders>
            <w:noWrap/>
            <w:vAlign w:val="bottom"/>
            <w:hideMark/>
          </w:tcPr>
          <w:p w14:paraId="4B335D7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Farmers herders crisis</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0C9505F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14.3%</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4C12412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10.9%</w:t>
            </w:r>
          </w:p>
        </w:tc>
        <w:tc>
          <w:tcPr>
            <w:tcW w:w="917" w:type="pct"/>
            <w:gridSpan w:val="2"/>
            <w:tcBorders>
              <w:top w:val="single" w:sz="4" w:space="0" w:color="auto"/>
              <w:left w:val="single" w:sz="4" w:space="0" w:color="auto"/>
              <w:bottom w:val="single" w:sz="4" w:space="0" w:color="auto"/>
              <w:right w:val="single" w:sz="4" w:space="0" w:color="auto"/>
            </w:tcBorders>
            <w:noWrap/>
            <w:vAlign w:val="bottom"/>
            <w:hideMark/>
          </w:tcPr>
          <w:p w14:paraId="735B258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12.6%</w:t>
            </w:r>
          </w:p>
        </w:tc>
      </w:tr>
    </w:tbl>
    <w:p w14:paraId="5EC9DDE4" w14:textId="77777777" w:rsidR="00C27173" w:rsidRPr="00C27173" w:rsidRDefault="00C27173" w:rsidP="00C27173"/>
    <w:p w14:paraId="473757EA" w14:textId="5D0D357D" w:rsidR="003A1DC2" w:rsidRPr="00116D0B" w:rsidRDefault="003A1DC2" w:rsidP="003A1DC2">
      <w:pPr>
        <w:pStyle w:val="Heading2"/>
        <w:jc w:val="both"/>
        <w:rPr>
          <w:szCs w:val="24"/>
        </w:rPr>
      </w:pPr>
      <w:bookmarkStart w:id="81" w:name="_Toc166775424"/>
      <w:r w:rsidRPr="00116D0B">
        <w:rPr>
          <w:rFonts w:eastAsia="Calibri"/>
          <w:szCs w:val="24"/>
        </w:rPr>
        <w:t>4.3</w:t>
      </w:r>
      <w:r w:rsidRPr="00116D0B">
        <w:rPr>
          <w:rFonts w:eastAsia="Calibri"/>
          <w:szCs w:val="24"/>
        </w:rPr>
        <w:tab/>
        <w:t>Evaluation of the</w:t>
      </w:r>
      <w:r w:rsidRPr="00116D0B">
        <w:rPr>
          <w:szCs w:val="24"/>
        </w:rPr>
        <w:t xml:space="preserve"> </w:t>
      </w:r>
      <w:r w:rsidRPr="00116D0B">
        <w:rPr>
          <w:rFonts w:eastAsia="Calibri"/>
          <w:szCs w:val="24"/>
        </w:rPr>
        <w:t>social interaction and power dynamics in relationships among traditional/community/nongovernment and government structures</w:t>
      </w:r>
      <w:bookmarkEnd w:id="81"/>
      <w:r w:rsidRPr="00116D0B">
        <w:rPr>
          <w:rFonts w:eastAsia="Calibri"/>
          <w:szCs w:val="24"/>
        </w:rPr>
        <w:t xml:space="preserve"> </w:t>
      </w:r>
    </w:p>
    <w:p w14:paraId="5442D46F" w14:textId="0153671B"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 xml:space="preserve">The endline evaluation also examined the social interaction and power dynamics in relationships among traditional/community/nongovernment and government structures by examining the extent to which the CDP sessions has improved social interaction and power dynamics in relationships among traditional/community/nongovernment and government structures taking into </w:t>
      </w:r>
      <w:r w:rsidR="00842D36" w:rsidRPr="00116D0B">
        <w:rPr>
          <w:rFonts w:ascii="Garamond" w:hAnsi="Garamond"/>
          <w:sz w:val="24"/>
          <w:szCs w:val="24"/>
        </w:rPr>
        <w:t>cogni</w:t>
      </w:r>
      <w:r w:rsidR="00842D36">
        <w:rPr>
          <w:rFonts w:ascii="Garamond" w:hAnsi="Garamond"/>
          <w:sz w:val="24"/>
          <w:szCs w:val="24"/>
        </w:rPr>
        <w:t>zance</w:t>
      </w:r>
      <w:r w:rsidRPr="00116D0B">
        <w:rPr>
          <w:rFonts w:ascii="Garamond" w:hAnsi="Garamond"/>
          <w:sz w:val="24"/>
          <w:szCs w:val="24"/>
        </w:rPr>
        <w:t xml:space="preserve"> key results area of the project: Participatory engagement and planning between local communities and government, and social cohesion and inclusive planning. </w:t>
      </w:r>
    </w:p>
    <w:p w14:paraId="58A22E05" w14:textId="57FA706A" w:rsidR="003A1DC2" w:rsidRPr="00116D0B" w:rsidRDefault="003A1DC2" w:rsidP="003A1DC2">
      <w:pPr>
        <w:pStyle w:val="TOC3"/>
      </w:pPr>
      <w:r w:rsidRPr="00116D0B">
        <w:t>4.3.1</w:t>
      </w:r>
      <w:r w:rsidRPr="00116D0B">
        <w:tab/>
        <w:t>Evaluation of participatory engagement and planning between local communities and government</w:t>
      </w:r>
    </w:p>
    <w:p w14:paraId="3DB77EC8" w14:textId="674AB367" w:rsidR="003A1DC2" w:rsidRPr="00116D0B" w:rsidRDefault="003A1DC2" w:rsidP="003A1DC2">
      <w:pPr>
        <w:pStyle w:val="TOC3"/>
        <w:spacing w:before="240" w:line="276" w:lineRule="auto"/>
        <w:jc w:val="both"/>
        <w:rPr>
          <w:b w:val="0"/>
          <w:color w:val="auto"/>
        </w:rPr>
      </w:pPr>
      <w:r w:rsidRPr="00116D0B">
        <w:rPr>
          <w:b w:val="0"/>
          <w:color w:val="auto"/>
        </w:rPr>
        <w:t xml:space="preserve">The evaluation examined respondents' views regarding the extent to which they feel community members participate in community decisions. Findings from the endline survey revealed a significant increase in perceived participation in community decisions following the conclusion of the project activities. During the baseline, only about 41.2% (very high - 12.5% and high - 28.7%) of respondents reported community members' participation in community decisions. However, during the endline survey, this number </w:t>
      </w:r>
      <w:r w:rsidRPr="00116D0B">
        <w:rPr>
          <w:b w:val="0"/>
          <w:color w:val="auto"/>
        </w:rPr>
        <w:lastRenderedPageBreak/>
        <w:t>increased significantly to over 85% (very high - 35.9% and high - 49.4%), suggesting that the CDP sessions empowered residents and fostered a more inclusive environment where they feel they have a greater say in shaping their community. The endline evaluation, further disaggregated by gender, did not reveal any variation as 85% of both male and female respondents reported community members' participation in community decisions.</w:t>
      </w:r>
    </w:p>
    <w:p w14:paraId="37D15607" w14:textId="74783FB4" w:rsidR="00D96278" w:rsidRPr="00116D0B" w:rsidRDefault="00D96278" w:rsidP="003A1DC2">
      <w:pPr>
        <w:pStyle w:val="TOC3"/>
        <w:spacing w:before="240" w:line="276" w:lineRule="auto"/>
        <w:jc w:val="both"/>
        <w:rPr>
          <w:b w:val="0"/>
          <w:color w:val="auto"/>
        </w:rPr>
      </w:pPr>
      <w:r w:rsidRPr="00116D0B">
        <w:rPr>
          <w:b w:val="0"/>
          <w:color w:val="auto"/>
        </w:rPr>
        <w:t>Further analysis of the qualitative data revealed that community members are now involved in community decisions as evidenced by the respondents report during the FGDs and KII. Community members reported how they are currently being carried along as regards development decisions with their community. The comments below further substantiate the claims</w:t>
      </w:r>
    </w:p>
    <w:p w14:paraId="4430D879" w14:textId="0192F0B6" w:rsidR="00D96278" w:rsidRPr="00116D0B" w:rsidRDefault="00842D36" w:rsidP="00DA0C1C">
      <w:pPr>
        <w:pStyle w:val="TOC3"/>
        <w:spacing w:before="240" w:line="276" w:lineRule="auto"/>
        <w:jc w:val="center"/>
        <w:rPr>
          <w:i/>
          <w:color w:val="auto"/>
        </w:rPr>
      </w:pPr>
      <w:r>
        <w:rPr>
          <w:i/>
          <w:color w:val="auto"/>
        </w:rPr>
        <w:t>“</w:t>
      </w:r>
      <w:r w:rsidR="00B82F66" w:rsidRPr="00116D0B">
        <w:rPr>
          <w:i/>
          <w:color w:val="auto"/>
        </w:rPr>
        <w:t>These days, we are being invited to participate in the decision-making process, which is done to ensure that everyone in the community is involved.</w:t>
      </w:r>
      <w:r>
        <w:rPr>
          <w:i/>
          <w:color w:val="auto"/>
        </w:rPr>
        <w:t>”</w:t>
      </w:r>
      <w:r w:rsidR="00B82F66" w:rsidRPr="00116D0B">
        <w:rPr>
          <w:i/>
          <w:color w:val="auto"/>
        </w:rPr>
        <w:t xml:space="preserve">- FGD with female group </w:t>
      </w:r>
      <w:proofErr w:type="spellStart"/>
      <w:r w:rsidR="00B82F66" w:rsidRPr="00116D0B">
        <w:rPr>
          <w:i/>
          <w:color w:val="auto"/>
        </w:rPr>
        <w:t>Munkavachitta</w:t>
      </w:r>
      <w:proofErr w:type="spellEnd"/>
    </w:p>
    <w:p w14:paraId="2B882932" w14:textId="5B6C746F" w:rsidR="00B82F66" w:rsidRPr="00842D36" w:rsidRDefault="00842D36" w:rsidP="00842D36">
      <w:pPr>
        <w:jc w:val="center"/>
        <w:rPr>
          <w:rFonts w:ascii="Garamond" w:hAnsi="Garamond"/>
          <w:b/>
          <w:bCs/>
          <w:i/>
          <w:iCs/>
          <w:sz w:val="24"/>
          <w:szCs w:val="24"/>
        </w:rPr>
      </w:pPr>
      <w:r>
        <w:rPr>
          <w:rFonts w:ascii="Garamond" w:hAnsi="Garamond"/>
          <w:b/>
          <w:bCs/>
          <w:i/>
          <w:iCs/>
          <w:sz w:val="24"/>
          <w:szCs w:val="24"/>
        </w:rPr>
        <w:t>“</w:t>
      </w:r>
      <w:r w:rsidR="00B82F66" w:rsidRPr="00842D36">
        <w:rPr>
          <w:rFonts w:ascii="Garamond" w:hAnsi="Garamond"/>
          <w:b/>
          <w:bCs/>
          <w:i/>
          <w:iCs/>
          <w:sz w:val="24"/>
          <w:szCs w:val="24"/>
        </w:rPr>
        <w:t xml:space="preserve">Through town meetings, we invite members of the community, including </w:t>
      </w:r>
      <w:proofErr w:type="spellStart"/>
      <w:r w:rsidR="00B82F66" w:rsidRPr="00842D36">
        <w:rPr>
          <w:rFonts w:ascii="Garamond" w:hAnsi="Garamond"/>
          <w:b/>
          <w:bCs/>
          <w:i/>
          <w:iCs/>
          <w:sz w:val="24"/>
          <w:szCs w:val="24"/>
        </w:rPr>
        <w:t>Jauros</w:t>
      </w:r>
      <w:proofErr w:type="spellEnd"/>
      <w:r w:rsidR="00B82F66" w:rsidRPr="00842D36">
        <w:rPr>
          <w:rFonts w:ascii="Garamond" w:hAnsi="Garamond"/>
          <w:b/>
          <w:bCs/>
          <w:i/>
          <w:iCs/>
          <w:sz w:val="24"/>
          <w:szCs w:val="24"/>
        </w:rPr>
        <w:t xml:space="preserve"> and Maigari (village heads), pastors, imams, and our political leaders to discuss issues related to our community's development.</w:t>
      </w:r>
      <w:r>
        <w:rPr>
          <w:rFonts w:ascii="Garamond" w:hAnsi="Garamond"/>
          <w:b/>
          <w:bCs/>
          <w:i/>
          <w:iCs/>
          <w:sz w:val="24"/>
          <w:szCs w:val="24"/>
        </w:rPr>
        <w:t>”</w:t>
      </w:r>
      <w:r w:rsidR="00DA0C1C" w:rsidRPr="00842D36">
        <w:rPr>
          <w:rFonts w:ascii="Garamond" w:hAnsi="Garamond"/>
          <w:b/>
          <w:bCs/>
          <w:i/>
          <w:iCs/>
          <w:sz w:val="24"/>
          <w:szCs w:val="24"/>
        </w:rPr>
        <w:t xml:space="preserve"> - FGD with female group Sina Kamale</w:t>
      </w:r>
    </w:p>
    <w:p w14:paraId="002D3651" w14:textId="4C0A873D" w:rsidR="00DA0C1C" w:rsidRPr="00116D0B" w:rsidRDefault="00DA0C1C" w:rsidP="00DA0C1C">
      <w:pPr>
        <w:spacing w:before="240" w:after="240" w:line="276" w:lineRule="auto"/>
        <w:jc w:val="center"/>
        <w:rPr>
          <w:rFonts w:ascii="Garamond" w:hAnsi="Garamond"/>
          <w:b/>
          <w:i/>
          <w:sz w:val="24"/>
          <w:szCs w:val="24"/>
        </w:rPr>
      </w:pPr>
      <w:r w:rsidRPr="00116D0B">
        <w:rPr>
          <w:rFonts w:ascii="Garamond" w:hAnsi="Garamond"/>
          <w:b/>
          <w:i/>
          <w:sz w:val="24"/>
          <w:szCs w:val="24"/>
        </w:rPr>
        <w:t>"There's a significant collaboration between community members and government stakeholders now, unlike before. Some people previously perceived the project as political, but after we launched one of our projects and received support from the community, they are eager for more launches." - FGD with male group Madzi</w:t>
      </w:r>
    </w:p>
    <w:p w14:paraId="4AF30255" w14:textId="187F9C0F" w:rsidR="00DA0C1C" w:rsidRPr="00116D0B" w:rsidRDefault="00DA0C1C" w:rsidP="00DA0C1C">
      <w:pPr>
        <w:spacing w:before="240" w:after="240" w:line="276" w:lineRule="auto"/>
        <w:jc w:val="center"/>
        <w:rPr>
          <w:rFonts w:ascii="Garamond" w:hAnsi="Garamond"/>
          <w:b/>
          <w:i/>
          <w:sz w:val="24"/>
          <w:szCs w:val="24"/>
        </w:rPr>
      </w:pPr>
      <w:r w:rsidRPr="00116D0B">
        <w:rPr>
          <w:rFonts w:ascii="Garamond" w:hAnsi="Garamond"/>
          <w:b/>
          <w:i/>
          <w:sz w:val="24"/>
          <w:szCs w:val="24"/>
        </w:rPr>
        <w:t>"The number of people participating in decision-making regarding service delivery has significantly increased, and it's incomparable to before. Previously, only very few responded to invitations for community service delivery, but now people come out without hesitation and are eager to participate in various activities." KII with religious representative Michika ii</w:t>
      </w:r>
    </w:p>
    <w:p w14:paraId="4720E41C" w14:textId="341238D4" w:rsidR="003A1DC2" w:rsidRPr="00116D0B" w:rsidRDefault="003A1DC2" w:rsidP="00C27173">
      <w:pPr>
        <w:pStyle w:val="Caption"/>
      </w:pPr>
      <w:bookmarkStart w:id="82" w:name="_Toc166704047"/>
      <w:r w:rsidRPr="00116D0B">
        <w:t xml:space="preserve">Table </w:t>
      </w:r>
      <w:fldSimple w:instr=" SEQ Table \* ARABIC ">
        <w:r w:rsidR="00116D0B" w:rsidRPr="00116D0B">
          <w:rPr>
            <w:noProof/>
          </w:rPr>
          <w:t>24</w:t>
        </w:r>
      </w:fldSimple>
      <w:r w:rsidRPr="00116D0B">
        <w:t>: Participation in decision making</w:t>
      </w:r>
      <w:bookmarkEnd w:id="82"/>
    </w:p>
    <w:tbl>
      <w:tblPr>
        <w:tblW w:w="8948" w:type="dxa"/>
        <w:tblInd w:w="-5" w:type="dxa"/>
        <w:tblLook w:val="04A0" w:firstRow="1" w:lastRow="0" w:firstColumn="1" w:lastColumn="0" w:noHBand="0" w:noVBand="1"/>
      </w:tblPr>
      <w:tblGrid>
        <w:gridCol w:w="4050"/>
        <w:gridCol w:w="1350"/>
        <w:gridCol w:w="1440"/>
        <w:gridCol w:w="1081"/>
        <w:gridCol w:w="1027"/>
      </w:tblGrid>
      <w:tr w:rsidR="003A1DC2" w:rsidRPr="00116D0B" w14:paraId="57D7658D" w14:textId="77777777" w:rsidTr="003A1DC2">
        <w:trPr>
          <w:trHeight w:val="600"/>
        </w:trPr>
        <w:tc>
          <w:tcPr>
            <w:tcW w:w="6840" w:type="dxa"/>
            <w:gridSpan w:val="3"/>
            <w:tcBorders>
              <w:top w:val="single" w:sz="4" w:space="0" w:color="auto"/>
              <w:left w:val="single" w:sz="4" w:space="0" w:color="auto"/>
              <w:right w:val="single" w:sz="4" w:space="0" w:color="auto"/>
            </w:tcBorders>
            <w:shd w:val="clear" w:color="549E39" w:fill="549E39"/>
            <w:vAlign w:val="bottom"/>
            <w:hideMark/>
          </w:tcPr>
          <w:p w14:paraId="18A1339F"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 what extent do you feel community members participate in community decisions currently?</w:t>
            </w:r>
          </w:p>
        </w:tc>
        <w:tc>
          <w:tcPr>
            <w:tcW w:w="1081" w:type="dxa"/>
            <w:tcBorders>
              <w:top w:val="single" w:sz="4" w:space="0" w:color="auto"/>
              <w:left w:val="nil"/>
              <w:right w:val="single" w:sz="4" w:space="0" w:color="auto"/>
            </w:tcBorders>
            <w:shd w:val="clear" w:color="000000" w:fill="549E39"/>
            <w:noWrap/>
            <w:vAlign w:val="center"/>
            <w:hideMark/>
          </w:tcPr>
          <w:p w14:paraId="7B46196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Baseline</w:t>
            </w:r>
          </w:p>
        </w:tc>
        <w:tc>
          <w:tcPr>
            <w:tcW w:w="1027" w:type="dxa"/>
            <w:tcBorders>
              <w:top w:val="single" w:sz="4" w:space="0" w:color="auto"/>
              <w:left w:val="nil"/>
              <w:right w:val="single" w:sz="4" w:space="0" w:color="auto"/>
            </w:tcBorders>
            <w:shd w:val="clear" w:color="000000" w:fill="549E39"/>
            <w:noWrap/>
            <w:vAlign w:val="center"/>
            <w:hideMark/>
          </w:tcPr>
          <w:p w14:paraId="4B49589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Endline</w:t>
            </w:r>
          </w:p>
        </w:tc>
      </w:tr>
      <w:tr w:rsidR="003A1DC2" w:rsidRPr="00116D0B" w14:paraId="4CA48A75" w14:textId="77777777" w:rsidTr="003A1DC2">
        <w:trPr>
          <w:trHeight w:val="300"/>
        </w:trPr>
        <w:tc>
          <w:tcPr>
            <w:tcW w:w="6840" w:type="dxa"/>
            <w:gridSpan w:val="3"/>
            <w:tcBorders>
              <w:top w:val="nil"/>
            </w:tcBorders>
            <w:noWrap/>
            <w:vAlign w:val="bottom"/>
            <w:hideMark/>
          </w:tcPr>
          <w:p w14:paraId="7D5FB8DF" w14:textId="77777777" w:rsidR="003A1DC2" w:rsidRPr="00116D0B" w:rsidRDefault="003A1DC2" w:rsidP="003A1DC2">
            <w:pPr>
              <w:widowControl/>
              <w:autoSpaceDE/>
              <w:autoSpaceDN/>
              <w:jc w:val="both"/>
              <w:rPr>
                <w:rFonts w:ascii="Garamond" w:eastAsia="Times New Roman" w:hAnsi="Garamond" w:cs="Calibri"/>
                <w:sz w:val="24"/>
                <w:szCs w:val="24"/>
              </w:rPr>
            </w:pPr>
            <w:r w:rsidRPr="00116D0B">
              <w:rPr>
                <w:rFonts w:ascii="Garamond" w:eastAsia="Times New Roman" w:hAnsi="Garamond" w:cs="Calibri"/>
                <w:sz w:val="24"/>
                <w:szCs w:val="24"/>
              </w:rPr>
              <w:t>Very high</w:t>
            </w:r>
          </w:p>
        </w:tc>
        <w:tc>
          <w:tcPr>
            <w:tcW w:w="1081" w:type="dxa"/>
            <w:tcBorders>
              <w:top w:val="nil"/>
            </w:tcBorders>
            <w:noWrap/>
            <w:vAlign w:val="bottom"/>
            <w:hideMark/>
          </w:tcPr>
          <w:p w14:paraId="5C443D5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c>
          <w:tcPr>
            <w:tcW w:w="1027" w:type="dxa"/>
            <w:tcBorders>
              <w:top w:val="nil"/>
            </w:tcBorders>
            <w:noWrap/>
            <w:vAlign w:val="bottom"/>
            <w:hideMark/>
          </w:tcPr>
          <w:p w14:paraId="40F330D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35.9%</w:t>
            </w:r>
          </w:p>
        </w:tc>
      </w:tr>
      <w:tr w:rsidR="003A1DC2" w:rsidRPr="00116D0B" w14:paraId="2CC0FF7A" w14:textId="77777777" w:rsidTr="003A1DC2">
        <w:trPr>
          <w:trHeight w:val="300"/>
        </w:trPr>
        <w:tc>
          <w:tcPr>
            <w:tcW w:w="6840" w:type="dxa"/>
            <w:gridSpan w:val="3"/>
            <w:tcBorders>
              <w:top w:val="nil"/>
            </w:tcBorders>
            <w:noWrap/>
            <w:vAlign w:val="bottom"/>
            <w:hideMark/>
          </w:tcPr>
          <w:p w14:paraId="5F607DBF" w14:textId="77777777" w:rsidR="003A1DC2" w:rsidRPr="00116D0B" w:rsidRDefault="003A1DC2" w:rsidP="003A1DC2">
            <w:pPr>
              <w:widowControl/>
              <w:autoSpaceDE/>
              <w:autoSpaceDN/>
              <w:jc w:val="both"/>
              <w:rPr>
                <w:rFonts w:ascii="Garamond" w:eastAsia="Times New Roman" w:hAnsi="Garamond" w:cs="Calibri"/>
                <w:sz w:val="24"/>
                <w:szCs w:val="24"/>
              </w:rPr>
            </w:pPr>
            <w:r w:rsidRPr="00116D0B">
              <w:rPr>
                <w:rFonts w:ascii="Garamond" w:eastAsia="Times New Roman" w:hAnsi="Garamond" w:cs="Calibri"/>
                <w:sz w:val="24"/>
                <w:szCs w:val="24"/>
              </w:rPr>
              <w:t>High</w:t>
            </w:r>
          </w:p>
        </w:tc>
        <w:tc>
          <w:tcPr>
            <w:tcW w:w="1081" w:type="dxa"/>
            <w:tcBorders>
              <w:top w:val="nil"/>
            </w:tcBorders>
            <w:noWrap/>
            <w:vAlign w:val="bottom"/>
            <w:hideMark/>
          </w:tcPr>
          <w:p w14:paraId="13C5010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28.7%</w:t>
            </w:r>
          </w:p>
        </w:tc>
        <w:tc>
          <w:tcPr>
            <w:tcW w:w="1027" w:type="dxa"/>
            <w:tcBorders>
              <w:top w:val="nil"/>
            </w:tcBorders>
            <w:noWrap/>
            <w:vAlign w:val="bottom"/>
            <w:hideMark/>
          </w:tcPr>
          <w:p w14:paraId="07C5079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49.4%</w:t>
            </w:r>
          </w:p>
        </w:tc>
      </w:tr>
      <w:tr w:rsidR="003A1DC2" w:rsidRPr="00116D0B" w14:paraId="6C4ED664" w14:textId="77777777" w:rsidTr="003A1DC2">
        <w:trPr>
          <w:trHeight w:val="300"/>
        </w:trPr>
        <w:tc>
          <w:tcPr>
            <w:tcW w:w="6840" w:type="dxa"/>
            <w:gridSpan w:val="3"/>
            <w:tcBorders>
              <w:top w:val="nil"/>
            </w:tcBorders>
            <w:noWrap/>
            <w:vAlign w:val="bottom"/>
            <w:hideMark/>
          </w:tcPr>
          <w:p w14:paraId="0315BA13" w14:textId="77777777" w:rsidR="003A1DC2" w:rsidRPr="00116D0B" w:rsidRDefault="003A1DC2" w:rsidP="003A1DC2">
            <w:pPr>
              <w:widowControl/>
              <w:autoSpaceDE/>
              <w:autoSpaceDN/>
              <w:jc w:val="both"/>
              <w:rPr>
                <w:rFonts w:ascii="Garamond" w:eastAsia="Times New Roman" w:hAnsi="Garamond" w:cs="Calibri"/>
                <w:sz w:val="24"/>
                <w:szCs w:val="24"/>
              </w:rPr>
            </w:pPr>
            <w:r w:rsidRPr="00116D0B">
              <w:rPr>
                <w:rFonts w:ascii="Garamond" w:eastAsia="Times New Roman" w:hAnsi="Garamond" w:cs="Calibri"/>
                <w:sz w:val="24"/>
                <w:szCs w:val="24"/>
              </w:rPr>
              <w:t>Medium</w:t>
            </w:r>
          </w:p>
        </w:tc>
        <w:tc>
          <w:tcPr>
            <w:tcW w:w="1081" w:type="dxa"/>
            <w:tcBorders>
              <w:top w:val="nil"/>
            </w:tcBorders>
            <w:noWrap/>
            <w:vAlign w:val="bottom"/>
            <w:hideMark/>
          </w:tcPr>
          <w:p w14:paraId="73901AB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37.0%</w:t>
            </w:r>
          </w:p>
        </w:tc>
        <w:tc>
          <w:tcPr>
            <w:tcW w:w="1027" w:type="dxa"/>
            <w:tcBorders>
              <w:top w:val="nil"/>
            </w:tcBorders>
            <w:noWrap/>
            <w:vAlign w:val="bottom"/>
            <w:hideMark/>
          </w:tcPr>
          <w:p w14:paraId="7A5D673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r>
      <w:tr w:rsidR="003A1DC2" w:rsidRPr="00116D0B" w14:paraId="77760886" w14:textId="77777777" w:rsidTr="003A1DC2">
        <w:trPr>
          <w:trHeight w:val="152"/>
        </w:trPr>
        <w:tc>
          <w:tcPr>
            <w:tcW w:w="6840" w:type="dxa"/>
            <w:gridSpan w:val="3"/>
            <w:tcBorders>
              <w:top w:val="nil"/>
            </w:tcBorders>
            <w:noWrap/>
            <w:vAlign w:val="bottom"/>
            <w:hideMark/>
          </w:tcPr>
          <w:p w14:paraId="2783B9EF" w14:textId="77777777" w:rsidR="003A1DC2" w:rsidRPr="00116D0B" w:rsidRDefault="003A1DC2" w:rsidP="003A1DC2">
            <w:pPr>
              <w:widowControl/>
              <w:autoSpaceDE/>
              <w:autoSpaceDN/>
              <w:jc w:val="both"/>
              <w:rPr>
                <w:rFonts w:ascii="Garamond" w:eastAsia="Times New Roman" w:hAnsi="Garamond" w:cs="Calibri"/>
                <w:sz w:val="24"/>
                <w:szCs w:val="24"/>
              </w:rPr>
            </w:pPr>
            <w:r w:rsidRPr="00116D0B">
              <w:rPr>
                <w:rFonts w:ascii="Garamond" w:eastAsia="Times New Roman" w:hAnsi="Garamond" w:cs="Calibri"/>
                <w:sz w:val="24"/>
                <w:szCs w:val="24"/>
              </w:rPr>
              <w:t>Low</w:t>
            </w:r>
          </w:p>
        </w:tc>
        <w:tc>
          <w:tcPr>
            <w:tcW w:w="1081" w:type="dxa"/>
            <w:tcBorders>
              <w:top w:val="nil"/>
            </w:tcBorders>
            <w:noWrap/>
            <w:vAlign w:val="bottom"/>
            <w:hideMark/>
          </w:tcPr>
          <w:p w14:paraId="0380C63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17.2%</w:t>
            </w:r>
          </w:p>
        </w:tc>
        <w:tc>
          <w:tcPr>
            <w:tcW w:w="1027" w:type="dxa"/>
            <w:tcBorders>
              <w:top w:val="nil"/>
            </w:tcBorders>
            <w:noWrap/>
            <w:vAlign w:val="bottom"/>
            <w:hideMark/>
          </w:tcPr>
          <w:p w14:paraId="7E3FFA6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0.7%</w:t>
            </w:r>
          </w:p>
        </w:tc>
      </w:tr>
      <w:tr w:rsidR="003A1DC2" w:rsidRPr="00116D0B" w14:paraId="5E78856C" w14:textId="77777777" w:rsidTr="003A1DC2">
        <w:trPr>
          <w:trHeight w:val="300"/>
        </w:trPr>
        <w:tc>
          <w:tcPr>
            <w:tcW w:w="6840" w:type="dxa"/>
            <w:gridSpan w:val="3"/>
            <w:tcBorders>
              <w:top w:val="nil"/>
            </w:tcBorders>
            <w:noWrap/>
            <w:vAlign w:val="bottom"/>
            <w:hideMark/>
          </w:tcPr>
          <w:p w14:paraId="0631E50F" w14:textId="77777777" w:rsidR="003A1DC2" w:rsidRPr="00116D0B" w:rsidRDefault="003A1DC2" w:rsidP="003A1DC2">
            <w:pPr>
              <w:widowControl/>
              <w:autoSpaceDE/>
              <w:autoSpaceDN/>
              <w:jc w:val="both"/>
              <w:rPr>
                <w:rFonts w:ascii="Garamond" w:eastAsia="Times New Roman" w:hAnsi="Garamond" w:cs="Calibri"/>
                <w:sz w:val="24"/>
                <w:szCs w:val="24"/>
              </w:rPr>
            </w:pPr>
            <w:r w:rsidRPr="00116D0B">
              <w:rPr>
                <w:rFonts w:ascii="Garamond" w:eastAsia="Times New Roman" w:hAnsi="Garamond" w:cs="Calibri"/>
                <w:sz w:val="24"/>
                <w:szCs w:val="24"/>
              </w:rPr>
              <w:t>Very low</w:t>
            </w:r>
          </w:p>
        </w:tc>
        <w:tc>
          <w:tcPr>
            <w:tcW w:w="1081" w:type="dxa"/>
            <w:tcBorders>
              <w:top w:val="nil"/>
            </w:tcBorders>
            <w:noWrap/>
            <w:vAlign w:val="bottom"/>
            <w:hideMark/>
          </w:tcPr>
          <w:p w14:paraId="432D24F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4.6%</w:t>
            </w:r>
          </w:p>
        </w:tc>
        <w:tc>
          <w:tcPr>
            <w:tcW w:w="1027" w:type="dxa"/>
            <w:tcBorders>
              <w:top w:val="nil"/>
            </w:tcBorders>
            <w:noWrap/>
            <w:vAlign w:val="bottom"/>
            <w:hideMark/>
          </w:tcPr>
          <w:p w14:paraId="35F04AF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r>
      <w:tr w:rsidR="003A1DC2" w:rsidRPr="00116D0B" w14:paraId="148133EC" w14:textId="77777777" w:rsidTr="003A1DC2">
        <w:trPr>
          <w:trHeight w:val="458"/>
        </w:trPr>
        <w:tc>
          <w:tcPr>
            <w:tcW w:w="4050" w:type="dxa"/>
            <w:tcBorders>
              <w:left w:val="nil"/>
              <w:bottom w:val="nil"/>
              <w:right w:val="nil"/>
            </w:tcBorders>
            <w:shd w:val="clear" w:color="549E39" w:fill="549E39"/>
            <w:vAlign w:val="bottom"/>
            <w:hideMark/>
          </w:tcPr>
          <w:p w14:paraId="211CD54C"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To what extent do you feel community members participate in community decisions currently?</w:t>
            </w:r>
          </w:p>
        </w:tc>
        <w:tc>
          <w:tcPr>
            <w:tcW w:w="1350" w:type="dxa"/>
            <w:tcBorders>
              <w:left w:val="nil"/>
              <w:bottom w:val="nil"/>
              <w:right w:val="nil"/>
            </w:tcBorders>
            <w:shd w:val="clear" w:color="549E39" w:fill="549E39"/>
            <w:noWrap/>
            <w:vAlign w:val="bottom"/>
            <w:hideMark/>
          </w:tcPr>
          <w:p w14:paraId="6A2F959B"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Female</w:t>
            </w:r>
          </w:p>
        </w:tc>
        <w:tc>
          <w:tcPr>
            <w:tcW w:w="1440" w:type="dxa"/>
            <w:tcBorders>
              <w:left w:val="nil"/>
              <w:bottom w:val="nil"/>
              <w:right w:val="nil"/>
            </w:tcBorders>
            <w:shd w:val="clear" w:color="549E39" w:fill="549E39"/>
            <w:noWrap/>
            <w:vAlign w:val="bottom"/>
            <w:hideMark/>
          </w:tcPr>
          <w:p w14:paraId="3E8B42B6"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Male</w:t>
            </w:r>
          </w:p>
        </w:tc>
        <w:tc>
          <w:tcPr>
            <w:tcW w:w="2108" w:type="dxa"/>
            <w:gridSpan w:val="2"/>
            <w:tcBorders>
              <w:left w:val="nil"/>
              <w:bottom w:val="nil"/>
              <w:right w:val="nil"/>
            </w:tcBorders>
            <w:shd w:val="clear" w:color="549E39" w:fill="549E39"/>
            <w:noWrap/>
            <w:vAlign w:val="bottom"/>
            <w:hideMark/>
          </w:tcPr>
          <w:p w14:paraId="7F8B0D11" w14:textId="59FA7859"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 xml:space="preserve">          Total</w:t>
            </w:r>
          </w:p>
        </w:tc>
      </w:tr>
      <w:tr w:rsidR="003A1DC2" w:rsidRPr="00116D0B" w14:paraId="39193558" w14:textId="77777777" w:rsidTr="003A1DC2">
        <w:trPr>
          <w:trHeight w:val="290"/>
        </w:trPr>
        <w:tc>
          <w:tcPr>
            <w:tcW w:w="4050" w:type="dxa"/>
            <w:tcBorders>
              <w:top w:val="nil"/>
              <w:left w:val="nil"/>
              <w:bottom w:val="nil"/>
              <w:right w:val="nil"/>
            </w:tcBorders>
            <w:noWrap/>
            <w:vAlign w:val="bottom"/>
            <w:hideMark/>
          </w:tcPr>
          <w:p w14:paraId="3BB1AA32"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Very high</w:t>
            </w:r>
          </w:p>
        </w:tc>
        <w:tc>
          <w:tcPr>
            <w:tcW w:w="1350" w:type="dxa"/>
            <w:tcBorders>
              <w:top w:val="nil"/>
              <w:left w:val="single" w:sz="4" w:space="0" w:color="93D07B"/>
              <w:bottom w:val="nil"/>
              <w:right w:val="single" w:sz="4" w:space="0" w:color="93D07B"/>
            </w:tcBorders>
            <w:noWrap/>
            <w:vAlign w:val="bottom"/>
            <w:hideMark/>
          </w:tcPr>
          <w:p w14:paraId="29DB024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33.0%</w:t>
            </w:r>
          </w:p>
        </w:tc>
        <w:tc>
          <w:tcPr>
            <w:tcW w:w="1440" w:type="dxa"/>
            <w:tcBorders>
              <w:top w:val="nil"/>
              <w:left w:val="nil"/>
              <w:bottom w:val="nil"/>
              <w:right w:val="nil"/>
            </w:tcBorders>
            <w:noWrap/>
            <w:vAlign w:val="bottom"/>
            <w:hideMark/>
          </w:tcPr>
          <w:p w14:paraId="51F2330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38.5%</w:t>
            </w:r>
          </w:p>
        </w:tc>
        <w:tc>
          <w:tcPr>
            <w:tcW w:w="2108" w:type="dxa"/>
            <w:gridSpan w:val="2"/>
            <w:tcBorders>
              <w:top w:val="nil"/>
              <w:left w:val="single" w:sz="4" w:space="0" w:color="93D07B"/>
              <w:bottom w:val="nil"/>
              <w:right w:val="single" w:sz="4" w:space="0" w:color="93D07B"/>
            </w:tcBorders>
            <w:noWrap/>
            <w:vAlign w:val="bottom"/>
            <w:hideMark/>
          </w:tcPr>
          <w:p w14:paraId="539C955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35.9%</w:t>
            </w:r>
          </w:p>
        </w:tc>
      </w:tr>
      <w:tr w:rsidR="003A1DC2" w:rsidRPr="00116D0B" w14:paraId="1D176925" w14:textId="77777777" w:rsidTr="003A1DC2">
        <w:trPr>
          <w:trHeight w:val="290"/>
        </w:trPr>
        <w:tc>
          <w:tcPr>
            <w:tcW w:w="4050" w:type="dxa"/>
            <w:tcBorders>
              <w:top w:val="nil"/>
              <w:left w:val="nil"/>
              <w:bottom w:val="nil"/>
              <w:right w:val="nil"/>
            </w:tcBorders>
            <w:noWrap/>
            <w:vAlign w:val="bottom"/>
            <w:hideMark/>
          </w:tcPr>
          <w:p w14:paraId="1720408C"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High</w:t>
            </w:r>
          </w:p>
        </w:tc>
        <w:tc>
          <w:tcPr>
            <w:tcW w:w="1350" w:type="dxa"/>
            <w:tcBorders>
              <w:top w:val="nil"/>
              <w:left w:val="single" w:sz="4" w:space="0" w:color="93D07B"/>
              <w:bottom w:val="nil"/>
              <w:right w:val="single" w:sz="4" w:space="0" w:color="93D07B"/>
            </w:tcBorders>
            <w:noWrap/>
            <w:vAlign w:val="bottom"/>
            <w:hideMark/>
          </w:tcPr>
          <w:p w14:paraId="4B58EA9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52.1%</w:t>
            </w:r>
          </w:p>
        </w:tc>
        <w:tc>
          <w:tcPr>
            <w:tcW w:w="1440" w:type="dxa"/>
            <w:tcBorders>
              <w:top w:val="nil"/>
              <w:left w:val="nil"/>
              <w:bottom w:val="nil"/>
              <w:right w:val="nil"/>
            </w:tcBorders>
            <w:noWrap/>
            <w:vAlign w:val="bottom"/>
            <w:hideMark/>
          </w:tcPr>
          <w:p w14:paraId="2D2C7162"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47.1%</w:t>
            </w:r>
          </w:p>
        </w:tc>
        <w:tc>
          <w:tcPr>
            <w:tcW w:w="2108" w:type="dxa"/>
            <w:gridSpan w:val="2"/>
            <w:tcBorders>
              <w:top w:val="nil"/>
              <w:left w:val="single" w:sz="4" w:space="0" w:color="93D07B"/>
              <w:bottom w:val="nil"/>
              <w:right w:val="single" w:sz="4" w:space="0" w:color="93D07B"/>
            </w:tcBorders>
            <w:noWrap/>
            <w:vAlign w:val="bottom"/>
            <w:hideMark/>
          </w:tcPr>
          <w:p w14:paraId="1D067DD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49.4%</w:t>
            </w:r>
          </w:p>
        </w:tc>
      </w:tr>
      <w:tr w:rsidR="003A1DC2" w:rsidRPr="00116D0B" w14:paraId="5DD2569E" w14:textId="77777777" w:rsidTr="003A1DC2">
        <w:trPr>
          <w:trHeight w:val="290"/>
        </w:trPr>
        <w:tc>
          <w:tcPr>
            <w:tcW w:w="4050" w:type="dxa"/>
            <w:tcBorders>
              <w:top w:val="nil"/>
              <w:left w:val="nil"/>
              <w:bottom w:val="nil"/>
              <w:right w:val="nil"/>
            </w:tcBorders>
            <w:noWrap/>
            <w:vAlign w:val="bottom"/>
            <w:hideMark/>
          </w:tcPr>
          <w:p w14:paraId="26296C76"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Medium</w:t>
            </w:r>
          </w:p>
        </w:tc>
        <w:tc>
          <w:tcPr>
            <w:tcW w:w="1350" w:type="dxa"/>
            <w:tcBorders>
              <w:top w:val="nil"/>
              <w:left w:val="single" w:sz="4" w:space="0" w:color="93D07B"/>
              <w:bottom w:val="nil"/>
              <w:right w:val="single" w:sz="4" w:space="0" w:color="93D07B"/>
            </w:tcBorders>
            <w:noWrap/>
            <w:vAlign w:val="bottom"/>
            <w:hideMark/>
          </w:tcPr>
          <w:p w14:paraId="1E32B14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13.4%</w:t>
            </w:r>
          </w:p>
        </w:tc>
        <w:tc>
          <w:tcPr>
            <w:tcW w:w="1440" w:type="dxa"/>
            <w:tcBorders>
              <w:top w:val="nil"/>
              <w:left w:val="nil"/>
              <w:bottom w:val="nil"/>
              <w:right w:val="nil"/>
            </w:tcBorders>
            <w:noWrap/>
            <w:vAlign w:val="bottom"/>
            <w:hideMark/>
          </w:tcPr>
          <w:p w14:paraId="19C8A6E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14.5%</w:t>
            </w:r>
          </w:p>
        </w:tc>
        <w:tc>
          <w:tcPr>
            <w:tcW w:w="2108" w:type="dxa"/>
            <w:gridSpan w:val="2"/>
            <w:tcBorders>
              <w:top w:val="nil"/>
              <w:left w:val="single" w:sz="4" w:space="0" w:color="93D07B"/>
              <w:bottom w:val="nil"/>
              <w:right w:val="single" w:sz="4" w:space="0" w:color="93D07B"/>
            </w:tcBorders>
            <w:noWrap/>
            <w:vAlign w:val="bottom"/>
            <w:hideMark/>
          </w:tcPr>
          <w:p w14:paraId="41B87E4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14.0%</w:t>
            </w:r>
          </w:p>
        </w:tc>
      </w:tr>
      <w:tr w:rsidR="003A1DC2" w:rsidRPr="00116D0B" w14:paraId="69E1B49E" w14:textId="77777777" w:rsidTr="003A1DC2">
        <w:trPr>
          <w:trHeight w:val="300"/>
        </w:trPr>
        <w:tc>
          <w:tcPr>
            <w:tcW w:w="4050" w:type="dxa"/>
            <w:tcBorders>
              <w:top w:val="nil"/>
              <w:left w:val="nil"/>
              <w:bottom w:val="single" w:sz="8" w:space="0" w:color="549E39"/>
              <w:right w:val="nil"/>
            </w:tcBorders>
            <w:noWrap/>
            <w:vAlign w:val="bottom"/>
            <w:hideMark/>
          </w:tcPr>
          <w:p w14:paraId="6951D4E5"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Low</w:t>
            </w:r>
          </w:p>
        </w:tc>
        <w:tc>
          <w:tcPr>
            <w:tcW w:w="1350" w:type="dxa"/>
            <w:tcBorders>
              <w:top w:val="nil"/>
              <w:left w:val="single" w:sz="4" w:space="0" w:color="93D07B"/>
              <w:bottom w:val="single" w:sz="8" w:space="0" w:color="549E39"/>
              <w:right w:val="single" w:sz="4" w:space="0" w:color="93D07B"/>
            </w:tcBorders>
            <w:noWrap/>
            <w:vAlign w:val="bottom"/>
            <w:hideMark/>
          </w:tcPr>
          <w:p w14:paraId="03614BC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1.5%</w:t>
            </w:r>
          </w:p>
        </w:tc>
        <w:tc>
          <w:tcPr>
            <w:tcW w:w="1440" w:type="dxa"/>
            <w:tcBorders>
              <w:top w:val="nil"/>
              <w:left w:val="nil"/>
              <w:bottom w:val="single" w:sz="8" w:space="0" w:color="549E39"/>
              <w:right w:val="nil"/>
            </w:tcBorders>
            <w:noWrap/>
            <w:vAlign w:val="bottom"/>
            <w:hideMark/>
          </w:tcPr>
          <w:p w14:paraId="46A5E5E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2108" w:type="dxa"/>
            <w:gridSpan w:val="2"/>
            <w:tcBorders>
              <w:top w:val="nil"/>
              <w:left w:val="single" w:sz="4" w:space="0" w:color="93D07B"/>
              <w:bottom w:val="single" w:sz="8" w:space="0" w:color="549E39"/>
              <w:right w:val="single" w:sz="4" w:space="0" w:color="93D07B"/>
            </w:tcBorders>
            <w:noWrap/>
            <w:vAlign w:val="bottom"/>
            <w:hideMark/>
          </w:tcPr>
          <w:p w14:paraId="6572382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0.7%</w:t>
            </w:r>
          </w:p>
        </w:tc>
      </w:tr>
    </w:tbl>
    <w:p w14:paraId="7BEF5508" w14:textId="6CD0FE3C" w:rsidR="003A1DC2" w:rsidRPr="00116D0B" w:rsidRDefault="003A1DC2" w:rsidP="003A1DC2">
      <w:pPr>
        <w:pStyle w:val="TOC3"/>
        <w:spacing w:before="240" w:line="276" w:lineRule="auto"/>
        <w:jc w:val="both"/>
        <w:rPr>
          <w:b w:val="0"/>
          <w:color w:val="auto"/>
        </w:rPr>
      </w:pPr>
      <w:r w:rsidRPr="00116D0B">
        <w:rPr>
          <w:b w:val="0"/>
          <w:color w:val="auto"/>
        </w:rPr>
        <w:lastRenderedPageBreak/>
        <w:t>Regarding community members' involvement in decision-making in the community, the findings from the endline survey indicate a significant improvement from the baseline. Overall, 91.1% of respondents reported being involved in decision-making in their community, compared to only 45% during the baseline. Further disaggregation of the endline results by gender revealed that more men (94.1%) were involved in decision-making than women (87.6%). However, it is important to note that there was a significant improvement in the percentage of both women and men involved in decision-making at the endline. This is in contrast to the baseline, where only 29.9% of women and 57.2% of men reported involvement in decision-making. These findings suggest that the CDP sessions have had a substantial positive impact on community engagement and inclusivity in decision-making processes.</w:t>
      </w:r>
    </w:p>
    <w:p w14:paraId="22F17CF9" w14:textId="01AD7003" w:rsidR="003A1DC2" w:rsidRPr="00116D0B" w:rsidRDefault="00362128" w:rsidP="003A1DC2">
      <w:pPr>
        <w:pStyle w:val="TOC3"/>
        <w:keepNext/>
        <w:spacing w:before="240" w:line="276" w:lineRule="auto"/>
        <w:jc w:val="both"/>
      </w:pPr>
      <w:r w:rsidRPr="00116D0B">
        <w:rPr>
          <w:noProof/>
        </w:rPr>
        <w:drawing>
          <wp:inline distT="0" distB="0" distL="0" distR="0" wp14:anchorId="75AEE027" wp14:editId="65376B71">
            <wp:extent cx="6123342" cy="3418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8345" cy="3449155"/>
                    </a:xfrm>
                    <a:prstGeom prst="rect">
                      <a:avLst/>
                    </a:prstGeom>
                  </pic:spPr>
                </pic:pic>
              </a:graphicData>
            </a:graphic>
          </wp:inline>
        </w:drawing>
      </w:r>
    </w:p>
    <w:p w14:paraId="43992915" w14:textId="3B408935" w:rsidR="003A1DC2" w:rsidRPr="00116D0B" w:rsidRDefault="003A1DC2" w:rsidP="00C27173">
      <w:pPr>
        <w:pStyle w:val="Caption"/>
      </w:pPr>
      <w:bookmarkStart w:id="83" w:name="_Toc166703490"/>
      <w:r w:rsidRPr="00116D0B">
        <w:t xml:space="preserve">Figure </w:t>
      </w:r>
      <w:fldSimple w:instr=" SEQ Figure \* ARABIC ">
        <w:r w:rsidR="002756B8" w:rsidRPr="00116D0B">
          <w:rPr>
            <w:noProof/>
          </w:rPr>
          <w:t>1</w:t>
        </w:r>
      </w:fldSimple>
      <w:r w:rsidRPr="00116D0B">
        <w:t>: Involvement in decision making</w:t>
      </w:r>
      <w:bookmarkEnd w:id="83"/>
    </w:p>
    <w:p w14:paraId="55080A9E" w14:textId="04F39067" w:rsidR="003A1DC2" w:rsidRPr="00116D0B" w:rsidRDefault="003A1DC2" w:rsidP="003A1DC2">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evaluation further examined the extent to which respondents fel</w:t>
      </w:r>
      <w:r w:rsidR="00592FE2">
        <w:rPr>
          <w:rFonts w:ascii="Garamond" w:eastAsia="Calibri" w:hAnsi="Garamond" w:cs="Times New Roman"/>
          <w:sz w:val="24"/>
          <w:szCs w:val="24"/>
        </w:rPr>
        <w:t>t</w:t>
      </w:r>
      <w:r w:rsidRPr="00116D0B">
        <w:rPr>
          <w:rFonts w:ascii="Garamond" w:eastAsia="Calibri" w:hAnsi="Garamond" w:cs="Times New Roman"/>
          <w:sz w:val="24"/>
          <w:szCs w:val="24"/>
        </w:rPr>
        <w:t xml:space="preserve"> their viewpoints have been considered in local decision-making. Comparing the baseline and endline surveys, the findings revealed a positive shift in how community members feel their viewpoints are considered. I</w:t>
      </w:r>
      <w:r w:rsidR="00617C3A" w:rsidRPr="00116D0B">
        <w:rPr>
          <w:rFonts w:ascii="Garamond" w:eastAsia="Calibri" w:hAnsi="Garamond" w:cs="Times New Roman"/>
          <w:sz w:val="24"/>
          <w:szCs w:val="24"/>
        </w:rPr>
        <w:t>n the endline survey, about 80.8</w:t>
      </w:r>
      <w:r w:rsidRPr="00116D0B">
        <w:rPr>
          <w:rFonts w:ascii="Garamond" w:eastAsia="Calibri" w:hAnsi="Garamond" w:cs="Times New Roman"/>
          <w:sz w:val="24"/>
          <w:szCs w:val="24"/>
        </w:rPr>
        <w:t xml:space="preserve">% of </w:t>
      </w:r>
      <w:r w:rsidR="00592FE2">
        <w:rPr>
          <w:rFonts w:ascii="Garamond" w:eastAsia="Calibri" w:hAnsi="Garamond" w:cs="Times New Roman"/>
          <w:sz w:val="24"/>
          <w:szCs w:val="24"/>
        </w:rPr>
        <w:t xml:space="preserve">the </w:t>
      </w:r>
      <w:r w:rsidRPr="00116D0B">
        <w:rPr>
          <w:rFonts w:ascii="Garamond" w:eastAsia="Calibri" w:hAnsi="Garamond" w:cs="Times New Roman"/>
          <w:sz w:val="24"/>
          <w:szCs w:val="24"/>
        </w:rPr>
        <w:t>respondents indicated that their views were considered to a very high or high extent, a significant increase from the baseline figure of 43.8%. This suggests that the project activities have successfully enhanced the inclusivity and responsiveness of local decision-making processes, making community members feel more heard and valued</w:t>
      </w:r>
      <w:r w:rsidRPr="00116D0B">
        <w:rPr>
          <w:rStyle w:val="FootnoteReference"/>
          <w:rFonts w:ascii="Garamond" w:eastAsia="Calibri" w:hAnsi="Garamond" w:cs="Times New Roman"/>
          <w:sz w:val="24"/>
          <w:szCs w:val="24"/>
        </w:rPr>
        <w:footnoteReference w:id="9"/>
      </w:r>
      <w:r w:rsidRPr="00116D0B">
        <w:rPr>
          <w:rFonts w:ascii="Garamond" w:eastAsia="Calibri" w:hAnsi="Garamond" w:cs="Times New Roman"/>
          <w:sz w:val="24"/>
          <w:szCs w:val="24"/>
        </w:rPr>
        <w:t>.</w:t>
      </w:r>
    </w:p>
    <w:p w14:paraId="4775CB6C" w14:textId="1A187E7D" w:rsidR="0082429A" w:rsidRPr="00116D0B" w:rsidRDefault="0082429A" w:rsidP="0082429A">
      <w:pPr>
        <w:keepNext/>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Findings from the qualitative data reinforces the positive impact of the project on community-government dynamics. Community members highlighted increased awareness of accessing government support and </w:t>
      </w:r>
      <w:r w:rsidRPr="00116D0B">
        <w:rPr>
          <w:rFonts w:ascii="Garamond" w:eastAsia="Calibri" w:hAnsi="Garamond" w:cs="Times New Roman"/>
          <w:sz w:val="24"/>
          <w:szCs w:val="24"/>
        </w:rPr>
        <w:lastRenderedPageBreak/>
        <w:t>actively contributing their views and opinions on community needs and development. This demonstrates a significant shift towards participatory governance and inclusive decision-making processes. The project has empowered community members to engage with government stakeholders more effectively, fostering a sense of ownership and responsibility for their community's development. This shift towards collaborative planning and engagement is essential for sustainable development and ensuring that community voices are heard and considered in decision-making processes. Overall, the qualitative data aligns with the quantitative findings, emphasizing the transformative impact of the project on community-government relations and participatory engagement.</w:t>
      </w:r>
    </w:p>
    <w:p w14:paraId="38B94393" w14:textId="0E293CAF" w:rsidR="0082429A" w:rsidRPr="00116D0B" w:rsidRDefault="0082429A" w:rsidP="00135A72">
      <w:pPr>
        <w:keepNext/>
        <w:widowControl/>
        <w:autoSpaceDE/>
        <w:autoSpaceDN/>
        <w:spacing w:before="240" w:after="240"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"Before these projects, we didn’t know we could </w:t>
      </w:r>
      <w:r w:rsidR="00135A72" w:rsidRPr="00116D0B">
        <w:rPr>
          <w:rFonts w:ascii="Garamond" w:eastAsia="Calibri" w:hAnsi="Garamond" w:cs="Times New Roman"/>
          <w:b/>
          <w:i/>
          <w:sz w:val="24"/>
          <w:szCs w:val="24"/>
        </w:rPr>
        <w:t>effectively communicate our needs to the</w:t>
      </w:r>
      <w:r w:rsidRPr="00116D0B">
        <w:rPr>
          <w:rFonts w:ascii="Garamond" w:eastAsia="Calibri" w:hAnsi="Garamond" w:cs="Times New Roman"/>
          <w:b/>
          <w:i/>
          <w:sz w:val="24"/>
          <w:szCs w:val="24"/>
        </w:rPr>
        <w:t xml:space="preserve"> government, </w:t>
      </w:r>
      <w:r w:rsidR="00135A72" w:rsidRPr="00116D0B">
        <w:rPr>
          <w:rFonts w:ascii="Garamond" w:eastAsia="Calibri" w:hAnsi="Garamond" w:cs="Times New Roman"/>
          <w:b/>
          <w:i/>
          <w:sz w:val="24"/>
          <w:szCs w:val="24"/>
        </w:rPr>
        <w:t>and also be heard. B</w:t>
      </w:r>
      <w:r w:rsidRPr="00116D0B">
        <w:rPr>
          <w:rFonts w:ascii="Garamond" w:eastAsia="Calibri" w:hAnsi="Garamond" w:cs="Times New Roman"/>
          <w:b/>
          <w:i/>
          <w:sz w:val="24"/>
          <w:szCs w:val="24"/>
        </w:rPr>
        <w:t>ut now we were able to plead with the government to use community members to work with contractors on road construction."</w:t>
      </w:r>
      <w:r w:rsidR="00135A72" w:rsidRPr="00116D0B">
        <w:rPr>
          <w:rFonts w:ascii="Garamond" w:eastAsia="Calibri" w:hAnsi="Garamond" w:cs="Times New Roman"/>
          <w:b/>
          <w:i/>
          <w:sz w:val="24"/>
          <w:szCs w:val="24"/>
        </w:rPr>
        <w:t xml:space="preserve"> – FGD with mixed group </w:t>
      </w:r>
      <w:proofErr w:type="spellStart"/>
      <w:r w:rsidR="00211CA6" w:rsidRPr="00116D0B">
        <w:rPr>
          <w:rFonts w:ascii="Garamond" w:eastAsia="Calibri" w:hAnsi="Garamond" w:cs="Times New Roman"/>
          <w:b/>
          <w:i/>
          <w:sz w:val="24"/>
          <w:szCs w:val="24"/>
        </w:rPr>
        <w:t>Wamblimi</w:t>
      </w:r>
      <w:proofErr w:type="spellEnd"/>
      <w:r w:rsidR="00211CA6" w:rsidRPr="00116D0B">
        <w:rPr>
          <w:rFonts w:ascii="Garamond" w:eastAsia="Calibri" w:hAnsi="Garamond" w:cs="Times New Roman"/>
          <w:b/>
          <w:i/>
          <w:sz w:val="24"/>
          <w:szCs w:val="24"/>
        </w:rPr>
        <w:t>/Tilli</w:t>
      </w:r>
    </w:p>
    <w:p w14:paraId="0696016C" w14:textId="73F7C0EA" w:rsidR="00135A72" w:rsidRPr="00116D0B" w:rsidRDefault="00135A72" w:rsidP="00135A72">
      <w:pPr>
        <w:keepNext/>
        <w:widowControl/>
        <w:autoSpaceDE/>
        <w:autoSpaceDN/>
        <w:spacing w:before="240" w:after="240"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"Knowing our community stakeholders, we are following proper steps to organize town hall meetings at NURU hall in </w:t>
      </w:r>
      <w:proofErr w:type="spellStart"/>
      <w:r w:rsidRPr="00116D0B">
        <w:rPr>
          <w:rFonts w:ascii="Garamond" w:eastAsia="Calibri" w:hAnsi="Garamond" w:cs="Times New Roman"/>
          <w:b/>
          <w:i/>
          <w:sz w:val="24"/>
          <w:szCs w:val="24"/>
        </w:rPr>
        <w:t>G</w:t>
      </w:r>
      <w:r w:rsidR="00362128" w:rsidRPr="00116D0B">
        <w:rPr>
          <w:rFonts w:ascii="Garamond" w:eastAsia="Calibri" w:hAnsi="Garamond" w:cs="Times New Roman"/>
          <w:b/>
          <w:i/>
          <w:sz w:val="24"/>
          <w:szCs w:val="24"/>
        </w:rPr>
        <w:t>arta</w:t>
      </w:r>
      <w:proofErr w:type="spellEnd"/>
      <w:r w:rsidR="00362128" w:rsidRPr="00116D0B">
        <w:rPr>
          <w:rFonts w:ascii="Garamond" w:eastAsia="Calibri" w:hAnsi="Garamond" w:cs="Times New Roman"/>
          <w:b/>
          <w:i/>
          <w:sz w:val="24"/>
          <w:szCs w:val="24"/>
        </w:rPr>
        <w:t>. The aim of the meeting is to plan</w:t>
      </w:r>
      <w:r w:rsidRPr="00116D0B">
        <w:rPr>
          <w:rFonts w:ascii="Garamond" w:eastAsia="Calibri" w:hAnsi="Garamond" w:cs="Times New Roman"/>
          <w:b/>
          <w:i/>
          <w:sz w:val="24"/>
          <w:szCs w:val="24"/>
        </w:rPr>
        <w:t xml:space="preserve">, make decisions, and decide how to implement our goals effectively." – FGD with male group </w:t>
      </w:r>
      <w:proofErr w:type="spellStart"/>
      <w:r w:rsidRPr="00116D0B">
        <w:rPr>
          <w:rFonts w:ascii="Garamond" w:eastAsia="Calibri" w:hAnsi="Garamond" w:cs="Times New Roman"/>
          <w:b/>
          <w:i/>
          <w:sz w:val="24"/>
          <w:szCs w:val="24"/>
        </w:rPr>
        <w:t>Garta</w:t>
      </w:r>
      <w:proofErr w:type="spellEnd"/>
    </w:p>
    <w:p w14:paraId="69CB67B5" w14:textId="5B43CCA6" w:rsidR="00135A72" w:rsidRPr="00116D0B" w:rsidRDefault="00135A72" w:rsidP="00135A72">
      <w:pPr>
        <w:keepNext/>
        <w:widowControl/>
        <w:autoSpaceDE/>
        <w:autoSpaceDN/>
        <w:spacing w:before="240" w:after="240"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"Previously, we lacked understanding about community development, but thanks to Oxfam, we now possess the knowledge needed to develop our community and ensure our voices are heard."- FGD with female group </w:t>
      </w:r>
      <w:proofErr w:type="spellStart"/>
      <w:r w:rsidRPr="00116D0B">
        <w:rPr>
          <w:rFonts w:ascii="Garamond" w:eastAsia="Calibri" w:hAnsi="Garamond" w:cs="Times New Roman"/>
          <w:b/>
          <w:i/>
          <w:sz w:val="24"/>
          <w:szCs w:val="24"/>
        </w:rPr>
        <w:t>Minkisi</w:t>
      </w:r>
      <w:proofErr w:type="spellEnd"/>
    </w:p>
    <w:p w14:paraId="31BE97CD" w14:textId="3EF52750" w:rsidR="003A1DC2" w:rsidRPr="00116D0B" w:rsidRDefault="00617C3A" w:rsidP="003A1DC2">
      <w:pPr>
        <w:keepNext/>
        <w:widowControl/>
        <w:autoSpaceDE/>
        <w:autoSpaceDN/>
        <w:spacing w:after="160" w:line="259" w:lineRule="auto"/>
        <w:jc w:val="both"/>
        <w:rPr>
          <w:rFonts w:ascii="Garamond" w:hAnsi="Garamond"/>
          <w:sz w:val="24"/>
          <w:szCs w:val="24"/>
        </w:rPr>
      </w:pPr>
      <w:r w:rsidRPr="00116D0B">
        <w:rPr>
          <w:rFonts w:ascii="Garamond" w:hAnsi="Garamond"/>
          <w:noProof/>
          <w:sz w:val="24"/>
          <w:szCs w:val="24"/>
        </w:rPr>
        <w:drawing>
          <wp:inline distT="0" distB="0" distL="0" distR="0" wp14:anchorId="5DF20DF7" wp14:editId="6C574DEC">
            <wp:extent cx="6268003" cy="27009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087" cy="2714823"/>
                    </a:xfrm>
                    <a:prstGeom prst="rect">
                      <a:avLst/>
                    </a:prstGeom>
                  </pic:spPr>
                </pic:pic>
              </a:graphicData>
            </a:graphic>
          </wp:inline>
        </w:drawing>
      </w:r>
    </w:p>
    <w:p w14:paraId="308C2E42" w14:textId="3058A5F8" w:rsidR="003A1DC2" w:rsidRPr="00116D0B" w:rsidRDefault="003A1DC2" w:rsidP="00C27173">
      <w:pPr>
        <w:pStyle w:val="Caption"/>
        <w:rPr>
          <w:rFonts w:eastAsia="Calibri" w:cs="Times New Roman"/>
        </w:rPr>
      </w:pPr>
      <w:bookmarkStart w:id="84" w:name="_Toc166703491"/>
      <w:r w:rsidRPr="00116D0B">
        <w:t xml:space="preserve">Figure </w:t>
      </w:r>
      <w:fldSimple w:instr=" SEQ Figure \* ARABIC ">
        <w:r w:rsidR="002756B8" w:rsidRPr="00116D0B">
          <w:rPr>
            <w:noProof/>
          </w:rPr>
          <w:t>2</w:t>
        </w:r>
      </w:fldSimple>
      <w:r w:rsidRPr="00116D0B">
        <w:t>: Percentage of respondents reporting their view being considered in local decision making</w:t>
      </w:r>
      <w:bookmarkEnd w:id="84"/>
    </w:p>
    <w:p w14:paraId="79A41C45" w14:textId="77777777"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The survey also sought to understand how different target groups perceive their local leaders’ legitimacy in making decisions in the interest of the whole community. When asked whether they think the decisions made in relation to their communities are in the interest of the entire community, the majority of respondents (96.9%) during the endline perceived the decisions to be in the best interest of everyone. This indicates a significant increase from the baseline, where only 65% held the same view.</w:t>
      </w:r>
    </w:p>
    <w:p w14:paraId="2FDC1915" w14:textId="7735A8EB"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lastRenderedPageBreak/>
        <w:t>Further disaggregation of the endline results by gender did not reveal any variation across genders. Both women (96.9%) and men (96.8%) similarly perceived that decisions made are in the best interest of the whole community. This is a notable improvement compared to the baseline, where only 59.4% of women and 70.1% of men held a similar perception. These findings suggest a marked enhancement in the community’s trust in their local leaders' decision-making processes following the project activities.</w:t>
      </w:r>
    </w:p>
    <w:p w14:paraId="15DA9D43" w14:textId="195B4BE8" w:rsidR="003A1DC2" w:rsidRPr="00116D0B" w:rsidRDefault="003A1DC2" w:rsidP="00C27173">
      <w:pPr>
        <w:pStyle w:val="Caption"/>
      </w:pPr>
      <w:bookmarkStart w:id="85" w:name="_Toc166704048"/>
      <w:r w:rsidRPr="00116D0B">
        <w:t xml:space="preserve">Table </w:t>
      </w:r>
      <w:fldSimple w:instr=" SEQ Table \* ARABIC ">
        <w:r w:rsidR="00116D0B" w:rsidRPr="00116D0B">
          <w:rPr>
            <w:noProof/>
          </w:rPr>
          <w:t>25</w:t>
        </w:r>
      </w:fldSimple>
      <w:r w:rsidRPr="00116D0B">
        <w:t>:  Do you think decisions made in relation to your community are in the interest of the whole community</w:t>
      </w:r>
      <w:bookmarkEnd w:id="85"/>
    </w:p>
    <w:tbl>
      <w:tblPr>
        <w:tblW w:w="8588" w:type="dxa"/>
        <w:tblLook w:val="04A0" w:firstRow="1" w:lastRow="0" w:firstColumn="1" w:lastColumn="0" w:noHBand="0" w:noVBand="1"/>
      </w:tblPr>
      <w:tblGrid>
        <w:gridCol w:w="6480"/>
        <w:gridCol w:w="1081"/>
        <w:gridCol w:w="1027"/>
      </w:tblGrid>
      <w:tr w:rsidR="003A1DC2" w:rsidRPr="00116D0B" w14:paraId="5B5C0F51" w14:textId="77777777" w:rsidTr="003A1DC2">
        <w:trPr>
          <w:trHeight w:val="441"/>
        </w:trPr>
        <w:tc>
          <w:tcPr>
            <w:tcW w:w="6480" w:type="dxa"/>
            <w:tcBorders>
              <w:top w:val="nil"/>
              <w:left w:val="nil"/>
              <w:bottom w:val="nil"/>
              <w:right w:val="nil"/>
            </w:tcBorders>
            <w:shd w:val="clear" w:color="549E39" w:fill="549E39"/>
            <w:vAlign w:val="bottom"/>
            <w:hideMark/>
          </w:tcPr>
          <w:p w14:paraId="02811761"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Do you think decisions made in relation to your community are in the interest of the whole community since the CDP session?</w:t>
            </w:r>
          </w:p>
        </w:tc>
        <w:tc>
          <w:tcPr>
            <w:tcW w:w="1081" w:type="dxa"/>
            <w:tcBorders>
              <w:top w:val="nil"/>
              <w:left w:val="nil"/>
              <w:bottom w:val="nil"/>
              <w:right w:val="nil"/>
            </w:tcBorders>
            <w:shd w:val="clear" w:color="549E39" w:fill="549E39"/>
            <w:vAlign w:val="bottom"/>
          </w:tcPr>
          <w:p w14:paraId="5CACEB72" w14:textId="199955C4" w:rsidR="003A1DC2" w:rsidRPr="00116D0B" w:rsidRDefault="003A1DC2" w:rsidP="003A1DC2">
            <w:pPr>
              <w:widowControl/>
              <w:autoSpaceDE/>
              <w:autoSpaceDN/>
              <w:jc w:val="center"/>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Baseline</w:t>
            </w:r>
          </w:p>
        </w:tc>
        <w:tc>
          <w:tcPr>
            <w:tcW w:w="1027" w:type="dxa"/>
            <w:tcBorders>
              <w:top w:val="nil"/>
              <w:left w:val="nil"/>
              <w:bottom w:val="nil"/>
              <w:right w:val="nil"/>
            </w:tcBorders>
            <w:shd w:val="clear" w:color="549E39" w:fill="549E39"/>
            <w:noWrap/>
            <w:vAlign w:val="bottom"/>
            <w:hideMark/>
          </w:tcPr>
          <w:p w14:paraId="72B315E6" w14:textId="46E36114"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Endline</w:t>
            </w:r>
          </w:p>
        </w:tc>
      </w:tr>
      <w:tr w:rsidR="003A1DC2" w:rsidRPr="00116D0B" w14:paraId="3D21604B" w14:textId="77777777" w:rsidTr="003A1DC2">
        <w:trPr>
          <w:trHeight w:val="290"/>
        </w:trPr>
        <w:tc>
          <w:tcPr>
            <w:tcW w:w="6480" w:type="dxa"/>
            <w:tcBorders>
              <w:top w:val="nil"/>
              <w:left w:val="nil"/>
              <w:bottom w:val="nil"/>
              <w:right w:val="nil"/>
            </w:tcBorders>
            <w:noWrap/>
            <w:vAlign w:val="bottom"/>
            <w:hideMark/>
          </w:tcPr>
          <w:p w14:paraId="75C46C84"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No</w:t>
            </w:r>
          </w:p>
        </w:tc>
        <w:tc>
          <w:tcPr>
            <w:tcW w:w="1081" w:type="dxa"/>
            <w:tcBorders>
              <w:top w:val="nil"/>
              <w:left w:val="single" w:sz="4" w:space="0" w:color="93D07B"/>
              <w:bottom w:val="nil"/>
              <w:right w:val="single" w:sz="4" w:space="0" w:color="93D07B"/>
            </w:tcBorders>
          </w:tcPr>
          <w:p w14:paraId="29325F99" w14:textId="52CB06B4"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35%</w:t>
            </w:r>
          </w:p>
        </w:tc>
        <w:tc>
          <w:tcPr>
            <w:tcW w:w="1027" w:type="dxa"/>
            <w:tcBorders>
              <w:top w:val="nil"/>
              <w:left w:val="single" w:sz="4" w:space="0" w:color="93D07B"/>
              <w:bottom w:val="nil"/>
              <w:right w:val="single" w:sz="4" w:space="0" w:color="93D07B"/>
            </w:tcBorders>
            <w:noWrap/>
            <w:vAlign w:val="bottom"/>
            <w:hideMark/>
          </w:tcPr>
          <w:p w14:paraId="7AAF962E" w14:textId="70D1518C"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3.1%</w:t>
            </w:r>
          </w:p>
        </w:tc>
      </w:tr>
      <w:tr w:rsidR="003A1DC2" w:rsidRPr="00116D0B" w14:paraId="09E2DF04" w14:textId="77777777" w:rsidTr="003A1DC2">
        <w:trPr>
          <w:trHeight w:val="300"/>
        </w:trPr>
        <w:tc>
          <w:tcPr>
            <w:tcW w:w="6480" w:type="dxa"/>
            <w:tcBorders>
              <w:top w:val="nil"/>
              <w:left w:val="nil"/>
              <w:bottom w:val="single" w:sz="8" w:space="0" w:color="549E39"/>
              <w:right w:val="nil"/>
            </w:tcBorders>
            <w:noWrap/>
            <w:vAlign w:val="bottom"/>
            <w:hideMark/>
          </w:tcPr>
          <w:p w14:paraId="4477E135"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Yes</w:t>
            </w:r>
          </w:p>
        </w:tc>
        <w:tc>
          <w:tcPr>
            <w:tcW w:w="1081" w:type="dxa"/>
            <w:tcBorders>
              <w:top w:val="nil"/>
              <w:left w:val="single" w:sz="4" w:space="0" w:color="93D07B"/>
              <w:bottom w:val="single" w:sz="8" w:space="0" w:color="549E39"/>
              <w:right w:val="single" w:sz="4" w:space="0" w:color="93D07B"/>
            </w:tcBorders>
          </w:tcPr>
          <w:p w14:paraId="2C1D1389" w14:textId="364D2B44"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65%</w:t>
            </w:r>
          </w:p>
        </w:tc>
        <w:tc>
          <w:tcPr>
            <w:tcW w:w="1027" w:type="dxa"/>
            <w:tcBorders>
              <w:top w:val="nil"/>
              <w:left w:val="single" w:sz="4" w:space="0" w:color="93D07B"/>
              <w:bottom w:val="single" w:sz="8" w:space="0" w:color="549E39"/>
              <w:right w:val="single" w:sz="4" w:space="0" w:color="93D07B"/>
            </w:tcBorders>
            <w:noWrap/>
            <w:vAlign w:val="bottom"/>
            <w:hideMark/>
          </w:tcPr>
          <w:p w14:paraId="4523CFAC" w14:textId="0C8A2E40"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96.9%</w:t>
            </w:r>
          </w:p>
        </w:tc>
      </w:tr>
    </w:tbl>
    <w:p w14:paraId="760644D3" w14:textId="4D964A86"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Further analysis into the respondents’ confidence and level of trust in local government institutions, particularly in making decisions and laws for the common good, revealed a slight increase from the baseline. During the endline survey, 78.3% of respondents across the study locations affirmed that decisions made in relation to their community are in the interest of the whole community since the CDP session, compared to 68.7% of respondents who held a similar view during the baseline. This implies that the CDP sessions have positively impacted community members' trust and confidence in local government institutions, enhancing their perception that decisions are made for the common good.</w:t>
      </w:r>
    </w:p>
    <w:p w14:paraId="506AE503" w14:textId="3F272F4A" w:rsidR="003A1DC2" w:rsidRPr="00116D0B" w:rsidRDefault="003A1DC2" w:rsidP="00C27173">
      <w:pPr>
        <w:pStyle w:val="Caption"/>
      </w:pPr>
      <w:bookmarkStart w:id="86" w:name="_Toc166704049"/>
      <w:r w:rsidRPr="00116D0B">
        <w:t xml:space="preserve">Table </w:t>
      </w:r>
      <w:fldSimple w:instr=" SEQ Table \* ARABIC ">
        <w:r w:rsidR="00116D0B" w:rsidRPr="00116D0B">
          <w:rPr>
            <w:noProof/>
          </w:rPr>
          <w:t>26</w:t>
        </w:r>
      </w:fldSimple>
      <w:r w:rsidRPr="00116D0B">
        <w:t>: Perception of confidence and trust in local government to make fair decisions and laws that are good for the people</w:t>
      </w:r>
      <w:bookmarkEnd w:id="86"/>
    </w:p>
    <w:tbl>
      <w:tblPr>
        <w:tblW w:w="8588" w:type="dxa"/>
        <w:tblLook w:val="04A0" w:firstRow="1" w:lastRow="0" w:firstColumn="1" w:lastColumn="0" w:noHBand="0" w:noVBand="1"/>
      </w:tblPr>
      <w:tblGrid>
        <w:gridCol w:w="6480"/>
        <w:gridCol w:w="1081"/>
        <w:gridCol w:w="1027"/>
      </w:tblGrid>
      <w:tr w:rsidR="003A1DC2" w:rsidRPr="00116D0B" w14:paraId="71FFEAC3" w14:textId="77777777" w:rsidTr="00F51140">
        <w:trPr>
          <w:trHeight w:val="441"/>
        </w:trPr>
        <w:tc>
          <w:tcPr>
            <w:tcW w:w="6480" w:type="dxa"/>
            <w:tcBorders>
              <w:top w:val="nil"/>
              <w:left w:val="nil"/>
              <w:bottom w:val="nil"/>
              <w:right w:val="nil"/>
            </w:tcBorders>
            <w:shd w:val="clear" w:color="549E39" w:fill="549E39"/>
            <w:vAlign w:val="bottom"/>
            <w:hideMark/>
          </w:tcPr>
          <w:p w14:paraId="2C9C465F" w14:textId="58A6879B" w:rsidR="003A1DC2" w:rsidRPr="00116D0B" w:rsidRDefault="003A1DC2" w:rsidP="00F51140">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Do you agree that local government makes decisions and laws that are good for the way you live locally since the CDP session?</w:t>
            </w:r>
          </w:p>
        </w:tc>
        <w:tc>
          <w:tcPr>
            <w:tcW w:w="1081" w:type="dxa"/>
            <w:tcBorders>
              <w:top w:val="nil"/>
              <w:left w:val="nil"/>
              <w:bottom w:val="nil"/>
              <w:right w:val="nil"/>
            </w:tcBorders>
            <w:shd w:val="clear" w:color="549E39" w:fill="549E39"/>
            <w:vAlign w:val="bottom"/>
          </w:tcPr>
          <w:p w14:paraId="024471B3" w14:textId="77777777" w:rsidR="003A1DC2" w:rsidRPr="00116D0B" w:rsidRDefault="003A1DC2" w:rsidP="00F51140">
            <w:pPr>
              <w:widowControl/>
              <w:autoSpaceDE/>
              <w:autoSpaceDN/>
              <w:jc w:val="center"/>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Baseline</w:t>
            </w:r>
          </w:p>
        </w:tc>
        <w:tc>
          <w:tcPr>
            <w:tcW w:w="1027" w:type="dxa"/>
            <w:tcBorders>
              <w:top w:val="nil"/>
              <w:left w:val="nil"/>
              <w:bottom w:val="nil"/>
              <w:right w:val="nil"/>
            </w:tcBorders>
            <w:shd w:val="clear" w:color="549E39" w:fill="549E39"/>
            <w:noWrap/>
            <w:vAlign w:val="bottom"/>
            <w:hideMark/>
          </w:tcPr>
          <w:p w14:paraId="16CA8292" w14:textId="77777777" w:rsidR="003A1DC2" w:rsidRPr="00116D0B" w:rsidRDefault="003A1DC2" w:rsidP="00F51140">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Endline</w:t>
            </w:r>
          </w:p>
        </w:tc>
      </w:tr>
      <w:tr w:rsidR="003A1DC2" w:rsidRPr="00116D0B" w14:paraId="24B1479C" w14:textId="77777777" w:rsidTr="00F51140">
        <w:trPr>
          <w:trHeight w:val="290"/>
        </w:trPr>
        <w:tc>
          <w:tcPr>
            <w:tcW w:w="6480" w:type="dxa"/>
            <w:tcBorders>
              <w:top w:val="nil"/>
              <w:left w:val="nil"/>
              <w:bottom w:val="nil"/>
              <w:right w:val="nil"/>
            </w:tcBorders>
            <w:noWrap/>
            <w:vAlign w:val="bottom"/>
            <w:hideMark/>
          </w:tcPr>
          <w:p w14:paraId="01DE35E0" w14:textId="77777777" w:rsidR="003A1DC2" w:rsidRPr="00116D0B" w:rsidRDefault="003A1DC2" w:rsidP="00F51140">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No</w:t>
            </w:r>
          </w:p>
        </w:tc>
        <w:tc>
          <w:tcPr>
            <w:tcW w:w="1081" w:type="dxa"/>
            <w:tcBorders>
              <w:top w:val="nil"/>
              <w:left w:val="single" w:sz="4" w:space="0" w:color="93D07B"/>
              <w:bottom w:val="nil"/>
              <w:right w:val="single" w:sz="4" w:space="0" w:color="93D07B"/>
            </w:tcBorders>
          </w:tcPr>
          <w:p w14:paraId="44C58FBE" w14:textId="77777777" w:rsidR="003A1DC2" w:rsidRPr="00116D0B" w:rsidRDefault="003A1DC2" w:rsidP="00F51140">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35%</w:t>
            </w:r>
          </w:p>
        </w:tc>
        <w:tc>
          <w:tcPr>
            <w:tcW w:w="1027" w:type="dxa"/>
            <w:tcBorders>
              <w:top w:val="nil"/>
              <w:left w:val="single" w:sz="4" w:space="0" w:color="93D07B"/>
              <w:bottom w:val="nil"/>
              <w:right w:val="single" w:sz="4" w:space="0" w:color="93D07B"/>
            </w:tcBorders>
            <w:noWrap/>
            <w:vAlign w:val="bottom"/>
            <w:hideMark/>
          </w:tcPr>
          <w:p w14:paraId="6A283CCC" w14:textId="77777777" w:rsidR="003A1DC2" w:rsidRPr="00116D0B" w:rsidRDefault="003A1DC2" w:rsidP="00F51140">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3.1%</w:t>
            </w:r>
          </w:p>
        </w:tc>
      </w:tr>
      <w:tr w:rsidR="003A1DC2" w:rsidRPr="00116D0B" w14:paraId="0BB59536" w14:textId="77777777" w:rsidTr="00F51140">
        <w:trPr>
          <w:trHeight w:val="300"/>
        </w:trPr>
        <w:tc>
          <w:tcPr>
            <w:tcW w:w="6480" w:type="dxa"/>
            <w:tcBorders>
              <w:top w:val="nil"/>
              <w:left w:val="nil"/>
              <w:bottom w:val="single" w:sz="8" w:space="0" w:color="549E39"/>
              <w:right w:val="nil"/>
            </w:tcBorders>
            <w:noWrap/>
            <w:vAlign w:val="bottom"/>
            <w:hideMark/>
          </w:tcPr>
          <w:p w14:paraId="4014FBEC" w14:textId="77777777" w:rsidR="003A1DC2" w:rsidRPr="00116D0B" w:rsidRDefault="003A1DC2" w:rsidP="00F51140">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Yes</w:t>
            </w:r>
          </w:p>
        </w:tc>
        <w:tc>
          <w:tcPr>
            <w:tcW w:w="1081" w:type="dxa"/>
            <w:tcBorders>
              <w:top w:val="nil"/>
              <w:left w:val="single" w:sz="4" w:space="0" w:color="93D07B"/>
              <w:bottom w:val="single" w:sz="8" w:space="0" w:color="549E39"/>
              <w:right w:val="single" w:sz="4" w:space="0" w:color="93D07B"/>
            </w:tcBorders>
          </w:tcPr>
          <w:p w14:paraId="001154D2" w14:textId="77777777" w:rsidR="003A1DC2" w:rsidRPr="00116D0B" w:rsidRDefault="003A1DC2" w:rsidP="00F51140">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65%</w:t>
            </w:r>
          </w:p>
        </w:tc>
        <w:tc>
          <w:tcPr>
            <w:tcW w:w="1027" w:type="dxa"/>
            <w:tcBorders>
              <w:top w:val="nil"/>
              <w:left w:val="single" w:sz="4" w:space="0" w:color="93D07B"/>
              <w:bottom w:val="single" w:sz="8" w:space="0" w:color="549E39"/>
              <w:right w:val="single" w:sz="4" w:space="0" w:color="93D07B"/>
            </w:tcBorders>
            <w:noWrap/>
            <w:vAlign w:val="bottom"/>
            <w:hideMark/>
          </w:tcPr>
          <w:p w14:paraId="33EFA5BA" w14:textId="77777777" w:rsidR="003A1DC2" w:rsidRPr="00116D0B" w:rsidRDefault="003A1DC2" w:rsidP="00F51140">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96.9%</w:t>
            </w:r>
          </w:p>
        </w:tc>
      </w:tr>
    </w:tbl>
    <w:p w14:paraId="0352E338" w14:textId="0F66AA72"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A cursory look at table 27 shows the respondents responses to the question about community integration highlighting key areas for improvement. The most frequently mentioned factor was participation in decision-making for community development, with 16.5% of respondents indicating its importance. This underscores a widespread desire for greater inclusivity and empowerment within community governance. Additionally, the need for boreholes was cited by 15.2% of respondents, reflecting the critical importance of access to clean water infrastructure. Improved healthcare facilities, specifically Hospitals/PHCs, were identified by 15.0% of respondents, emphasizing the demand for better medical services.</w:t>
      </w:r>
    </w:p>
    <w:p w14:paraId="19B5DC36" w14:textId="38A73C04"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Educational facilities were mentioned by 12.9% of respondents, indicating the need for better schools to foster long-term community growth. Infrastructure improvements, particularly roads and drainages, were highlighted by 9.4% of respondents, pointing to significant infrastructure challenges, while support for agriculture, including agricultural inputs and fertilizers, was noted by 9.2% of respondents, reflecting the crucial role of agriculture in the livelihoods of many community members. Addressing these areas is essential for fostering a sense of belonging and ensuring holistic community development. See table 27 for more detailed analysis by wards.</w:t>
      </w:r>
    </w:p>
    <w:p w14:paraId="09BD68D6" w14:textId="08AEE189" w:rsidR="003A1DC2" w:rsidRPr="00116D0B" w:rsidRDefault="003A1DC2" w:rsidP="00C27173">
      <w:pPr>
        <w:pStyle w:val="Caption"/>
      </w:pPr>
      <w:bookmarkStart w:id="87" w:name="_Toc166704050"/>
      <w:r w:rsidRPr="00116D0B">
        <w:lastRenderedPageBreak/>
        <w:t xml:space="preserve">Table </w:t>
      </w:r>
      <w:fldSimple w:instr=" SEQ Table \* ARABIC ">
        <w:r w:rsidR="00116D0B" w:rsidRPr="00116D0B">
          <w:rPr>
            <w:noProof/>
          </w:rPr>
          <w:t>27</w:t>
        </w:r>
      </w:fldSimple>
      <w:r w:rsidRPr="00116D0B">
        <w:t>: What do you think could be done to make you feel you are part of your larger community?</w:t>
      </w:r>
      <w:bookmarkEnd w:id="87"/>
    </w:p>
    <w:tbl>
      <w:tblPr>
        <w:tblW w:w="10764" w:type="dxa"/>
        <w:tblInd w:w="-360" w:type="dxa"/>
        <w:tblLook w:val="04A0" w:firstRow="1" w:lastRow="0" w:firstColumn="1" w:lastColumn="0" w:noHBand="0" w:noVBand="1"/>
      </w:tblPr>
      <w:tblGrid>
        <w:gridCol w:w="3160"/>
        <w:gridCol w:w="804"/>
        <w:gridCol w:w="820"/>
        <w:gridCol w:w="1020"/>
        <w:gridCol w:w="804"/>
        <w:gridCol w:w="804"/>
        <w:gridCol w:w="940"/>
        <w:gridCol w:w="804"/>
        <w:gridCol w:w="804"/>
        <w:gridCol w:w="804"/>
      </w:tblGrid>
      <w:tr w:rsidR="003A1DC2" w:rsidRPr="00116D0B" w14:paraId="7147DE29" w14:textId="77777777" w:rsidTr="00842D36">
        <w:trPr>
          <w:trHeight w:val="1512"/>
        </w:trPr>
        <w:tc>
          <w:tcPr>
            <w:tcW w:w="3160" w:type="dxa"/>
            <w:tcBorders>
              <w:top w:val="nil"/>
              <w:left w:val="nil"/>
              <w:bottom w:val="nil"/>
              <w:right w:val="nil"/>
            </w:tcBorders>
            <w:shd w:val="clear" w:color="549E39" w:fill="549E39"/>
            <w:vAlign w:val="bottom"/>
            <w:hideMark/>
          </w:tcPr>
          <w:p w14:paraId="2697DA18"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What do you think could be done to make you feel you are part of your larger community?</w:t>
            </w:r>
          </w:p>
        </w:tc>
        <w:tc>
          <w:tcPr>
            <w:tcW w:w="804" w:type="dxa"/>
            <w:tcBorders>
              <w:top w:val="nil"/>
              <w:left w:val="nil"/>
              <w:bottom w:val="nil"/>
              <w:right w:val="nil"/>
            </w:tcBorders>
            <w:shd w:val="clear" w:color="549E39" w:fill="549E39"/>
            <w:textDirection w:val="btLr"/>
            <w:hideMark/>
          </w:tcPr>
          <w:p w14:paraId="2A969CEB" w14:textId="532298EA" w:rsidR="003A1DC2" w:rsidRPr="00116D0B" w:rsidRDefault="003A1DC2" w:rsidP="003A1DC2">
            <w:pPr>
              <w:widowControl/>
              <w:autoSpaceDE/>
              <w:autoSpaceDN/>
              <w:rPr>
                <w:rFonts w:ascii="Garamond" w:eastAsia="Times New Roman" w:hAnsi="Garamond" w:cs="Times New Roman"/>
                <w:b/>
                <w:bCs/>
                <w:color w:val="FFFFFF"/>
                <w:sz w:val="24"/>
                <w:szCs w:val="24"/>
              </w:rPr>
            </w:pPr>
            <w:proofErr w:type="spellStart"/>
            <w:r w:rsidRPr="00116D0B">
              <w:rPr>
                <w:rFonts w:ascii="Garamond" w:eastAsia="Times New Roman" w:hAnsi="Garamond" w:cs="Times New Roman"/>
                <w:b/>
                <w:bCs/>
                <w:color w:val="FFFFFF"/>
                <w:sz w:val="24"/>
                <w:szCs w:val="24"/>
              </w:rPr>
              <w:t>Garta</w:t>
            </w:r>
            <w:proofErr w:type="spellEnd"/>
            <w:r w:rsidRPr="00116D0B">
              <w:rPr>
                <w:rFonts w:ascii="Garamond" w:eastAsia="Times New Roman" w:hAnsi="Garamond" w:cs="Times New Roman"/>
                <w:b/>
                <w:bCs/>
                <w:color w:val="FFFFFF"/>
                <w:sz w:val="24"/>
                <w:szCs w:val="24"/>
              </w:rPr>
              <w:t>/</w:t>
            </w:r>
            <w:r w:rsidR="00842D36">
              <w:rPr>
                <w:rFonts w:ascii="Garamond" w:eastAsia="Times New Roman" w:hAnsi="Garamond" w:cs="Times New Roman"/>
                <w:b/>
                <w:bCs/>
                <w:color w:val="FFFFFF"/>
                <w:sz w:val="24"/>
                <w:szCs w:val="24"/>
              </w:rPr>
              <w:t xml:space="preserve"> </w:t>
            </w:r>
            <w:proofErr w:type="spellStart"/>
            <w:r w:rsidRPr="00116D0B">
              <w:rPr>
                <w:rFonts w:ascii="Garamond" w:eastAsia="Times New Roman" w:hAnsi="Garamond" w:cs="Times New Roman"/>
                <w:b/>
                <w:bCs/>
                <w:color w:val="FFFFFF"/>
                <w:sz w:val="24"/>
                <w:szCs w:val="24"/>
              </w:rPr>
              <w:t>Ghunchi</w:t>
            </w:r>
            <w:proofErr w:type="spellEnd"/>
          </w:p>
        </w:tc>
        <w:tc>
          <w:tcPr>
            <w:tcW w:w="820" w:type="dxa"/>
            <w:tcBorders>
              <w:top w:val="nil"/>
              <w:left w:val="nil"/>
              <w:bottom w:val="nil"/>
              <w:right w:val="nil"/>
            </w:tcBorders>
            <w:shd w:val="clear" w:color="549E39" w:fill="549E39"/>
            <w:textDirection w:val="btLr"/>
            <w:hideMark/>
          </w:tcPr>
          <w:p w14:paraId="6F0EA0CF"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Madzi</w:t>
            </w:r>
          </w:p>
        </w:tc>
        <w:tc>
          <w:tcPr>
            <w:tcW w:w="1020" w:type="dxa"/>
            <w:tcBorders>
              <w:top w:val="nil"/>
              <w:left w:val="nil"/>
              <w:bottom w:val="nil"/>
              <w:right w:val="nil"/>
            </w:tcBorders>
            <w:shd w:val="clear" w:color="549E39" w:fill="549E39"/>
            <w:textDirection w:val="btLr"/>
            <w:hideMark/>
          </w:tcPr>
          <w:p w14:paraId="1F3C234E"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Michika ii</w:t>
            </w:r>
          </w:p>
        </w:tc>
        <w:tc>
          <w:tcPr>
            <w:tcW w:w="804" w:type="dxa"/>
            <w:tcBorders>
              <w:top w:val="nil"/>
              <w:left w:val="nil"/>
              <w:bottom w:val="nil"/>
              <w:right w:val="nil"/>
            </w:tcBorders>
            <w:shd w:val="clear" w:color="549E39" w:fill="549E39"/>
            <w:textDirection w:val="btLr"/>
            <w:hideMark/>
          </w:tcPr>
          <w:p w14:paraId="612335C9"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proofErr w:type="spellStart"/>
            <w:r w:rsidRPr="00116D0B">
              <w:rPr>
                <w:rFonts w:ascii="Garamond" w:eastAsia="Times New Roman" w:hAnsi="Garamond" w:cs="Times New Roman"/>
                <w:b/>
                <w:bCs/>
                <w:color w:val="FFFFFF"/>
                <w:sz w:val="24"/>
                <w:szCs w:val="24"/>
              </w:rPr>
              <w:t>Minkisi</w:t>
            </w:r>
            <w:proofErr w:type="spellEnd"/>
            <w:r w:rsidRPr="00116D0B">
              <w:rPr>
                <w:rFonts w:ascii="Garamond" w:eastAsia="Times New Roman" w:hAnsi="Garamond" w:cs="Times New Roman"/>
                <w:b/>
                <w:bCs/>
                <w:color w:val="FFFFFF"/>
                <w:sz w:val="24"/>
                <w:szCs w:val="24"/>
              </w:rPr>
              <w:t xml:space="preserve">/ </w:t>
            </w:r>
            <w:proofErr w:type="spellStart"/>
            <w:r w:rsidRPr="00116D0B">
              <w:rPr>
                <w:rFonts w:ascii="Garamond" w:eastAsia="Times New Roman" w:hAnsi="Garamond" w:cs="Times New Roman"/>
                <w:b/>
                <w:bCs/>
                <w:color w:val="FFFFFF"/>
                <w:sz w:val="24"/>
                <w:szCs w:val="24"/>
              </w:rPr>
              <w:t>Wuro</w:t>
            </w:r>
            <w:proofErr w:type="spellEnd"/>
            <w:r w:rsidRPr="00116D0B">
              <w:rPr>
                <w:rFonts w:ascii="Garamond" w:eastAsia="Times New Roman" w:hAnsi="Garamond" w:cs="Times New Roman"/>
                <w:b/>
                <w:bCs/>
                <w:color w:val="FFFFFF"/>
                <w:sz w:val="24"/>
                <w:szCs w:val="24"/>
              </w:rPr>
              <w:t xml:space="preserve"> </w:t>
            </w:r>
            <w:proofErr w:type="spellStart"/>
            <w:r w:rsidRPr="00116D0B">
              <w:rPr>
                <w:rFonts w:ascii="Garamond" w:eastAsia="Times New Roman" w:hAnsi="Garamond" w:cs="Times New Roman"/>
                <w:b/>
                <w:bCs/>
                <w:color w:val="FFFFFF"/>
                <w:sz w:val="24"/>
                <w:szCs w:val="24"/>
              </w:rPr>
              <w:t>Ngik</w:t>
            </w:r>
            <w:proofErr w:type="spellEnd"/>
          </w:p>
        </w:tc>
        <w:tc>
          <w:tcPr>
            <w:tcW w:w="804" w:type="dxa"/>
            <w:tcBorders>
              <w:top w:val="nil"/>
              <w:left w:val="nil"/>
              <w:bottom w:val="nil"/>
              <w:right w:val="nil"/>
            </w:tcBorders>
            <w:shd w:val="clear" w:color="549E39" w:fill="549E39"/>
            <w:textDirection w:val="btLr"/>
            <w:hideMark/>
          </w:tcPr>
          <w:p w14:paraId="1ED340AE"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proofErr w:type="spellStart"/>
            <w:r w:rsidRPr="00116D0B">
              <w:rPr>
                <w:rFonts w:ascii="Garamond" w:eastAsia="Times New Roman" w:hAnsi="Garamond" w:cs="Times New Roman"/>
                <w:b/>
                <w:bCs/>
                <w:color w:val="FFFFFF"/>
                <w:sz w:val="24"/>
                <w:szCs w:val="24"/>
              </w:rPr>
              <w:t>Munkavicita</w:t>
            </w:r>
            <w:proofErr w:type="spellEnd"/>
          </w:p>
        </w:tc>
        <w:tc>
          <w:tcPr>
            <w:tcW w:w="940" w:type="dxa"/>
            <w:tcBorders>
              <w:top w:val="nil"/>
              <w:left w:val="nil"/>
              <w:bottom w:val="nil"/>
              <w:right w:val="nil"/>
            </w:tcBorders>
            <w:shd w:val="clear" w:color="549E39" w:fill="549E39"/>
            <w:textDirection w:val="btLr"/>
            <w:hideMark/>
          </w:tcPr>
          <w:p w14:paraId="296512D4"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Sina/</w:t>
            </w:r>
            <w:proofErr w:type="spellStart"/>
            <w:r w:rsidRPr="00116D0B">
              <w:rPr>
                <w:rFonts w:ascii="Garamond" w:eastAsia="Times New Roman" w:hAnsi="Garamond" w:cs="Times New Roman"/>
                <w:b/>
                <w:bCs/>
                <w:color w:val="FFFFFF"/>
                <w:sz w:val="24"/>
                <w:szCs w:val="24"/>
              </w:rPr>
              <w:t>kamale</w:t>
            </w:r>
            <w:proofErr w:type="spellEnd"/>
            <w:r w:rsidRPr="00116D0B">
              <w:rPr>
                <w:rFonts w:ascii="Garamond" w:eastAsia="Times New Roman" w:hAnsi="Garamond" w:cs="Times New Roman"/>
                <w:b/>
                <w:bCs/>
                <w:color w:val="FFFFFF"/>
                <w:sz w:val="24"/>
                <w:szCs w:val="24"/>
              </w:rPr>
              <w:t>/</w:t>
            </w:r>
            <w:proofErr w:type="spellStart"/>
            <w:r w:rsidRPr="00116D0B">
              <w:rPr>
                <w:rFonts w:ascii="Garamond" w:eastAsia="Times New Roman" w:hAnsi="Garamond" w:cs="Times New Roman"/>
                <w:b/>
                <w:bCs/>
                <w:color w:val="FFFFFF"/>
                <w:sz w:val="24"/>
                <w:szCs w:val="24"/>
              </w:rPr>
              <w:t>Kwande</w:t>
            </w:r>
            <w:proofErr w:type="spellEnd"/>
          </w:p>
        </w:tc>
        <w:tc>
          <w:tcPr>
            <w:tcW w:w="804" w:type="dxa"/>
            <w:tcBorders>
              <w:top w:val="nil"/>
              <w:left w:val="nil"/>
              <w:bottom w:val="nil"/>
              <w:right w:val="nil"/>
            </w:tcBorders>
            <w:shd w:val="clear" w:color="549E39" w:fill="549E39"/>
            <w:textDirection w:val="btLr"/>
            <w:hideMark/>
          </w:tcPr>
          <w:p w14:paraId="25900AA9"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proofErr w:type="spellStart"/>
            <w:r w:rsidRPr="00116D0B">
              <w:rPr>
                <w:rFonts w:ascii="Garamond" w:eastAsia="Times New Roman" w:hAnsi="Garamond" w:cs="Times New Roman"/>
                <w:b/>
                <w:bCs/>
                <w:color w:val="FFFFFF"/>
                <w:sz w:val="24"/>
                <w:szCs w:val="24"/>
              </w:rPr>
              <w:t>Tumbara</w:t>
            </w:r>
            <w:proofErr w:type="spellEnd"/>
            <w:r w:rsidRPr="00116D0B">
              <w:rPr>
                <w:rFonts w:ascii="Garamond" w:eastAsia="Times New Roman" w:hAnsi="Garamond" w:cs="Times New Roman"/>
                <w:b/>
                <w:bCs/>
                <w:color w:val="FFFFFF"/>
                <w:sz w:val="24"/>
                <w:szCs w:val="24"/>
              </w:rPr>
              <w:t xml:space="preserve"> / </w:t>
            </w:r>
            <w:proofErr w:type="spellStart"/>
            <w:r w:rsidRPr="00116D0B">
              <w:rPr>
                <w:rFonts w:ascii="Garamond" w:eastAsia="Times New Roman" w:hAnsi="Garamond" w:cs="Times New Roman"/>
                <w:b/>
                <w:bCs/>
                <w:color w:val="FFFFFF"/>
                <w:sz w:val="24"/>
                <w:szCs w:val="24"/>
              </w:rPr>
              <w:t>Ngabili</w:t>
            </w:r>
            <w:proofErr w:type="spellEnd"/>
          </w:p>
        </w:tc>
        <w:tc>
          <w:tcPr>
            <w:tcW w:w="804" w:type="dxa"/>
            <w:tcBorders>
              <w:top w:val="nil"/>
              <w:left w:val="nil"/>
              <w:bottom w:val="nil"/>
              <w:right w:val="nil"/>
            </w:tcBorders>
            <w:shd w:val="clear" w:color="549E39" w:fill="549E39"/>
            <w:textDirection w:val="btLr"/>
            <w:hideMark/>
          </w:tcPr>
          <w:p w14:paraId="21F5BF5A" w14:textId="77777777" w:rsidR="003A1DC2" w:rsidRPr="00116D0B" w:rsidRDefault="003A1DC2" w:rsidP="003A1DC2">
            <w:pPr>
              <w:widowControl/>
              <w:autoSpaceDE/>
              <w:autoSpaceDN/>
              <w:rPr>
                <w:rFonts w:ascii="Garamond" w:eastAsia="Times New Roman" w:hAnsi="Garamond" w:cs="Times New Roman"/>
                <w:b/>
                <w:bCs/>
                <w:color w:val="FFFFFF"/>
                <w:sz w:val="24"/>
                <w:szCs w:val="24"/>
              </w:rPr>
            </w:pPr>
            <w:proofErr w:type="spellStart"/>
            <w:r w:rsidRPr="00116D0B">
              <w:rPr>
                <w:rFonts w:ascii="Garamond" w:eastAsia="Times New Roman" w:hAnsi="Garamond" w:cs="Times New Roman"/>
                <w:b/>
                <w:bCs/>
                <w:color w:val="FFFFFF"/>
                <w:sz w:val="24"/>
                <w:szCs w:val="24"/>
              </w:rPr>
              <w:t>Wamblimi</w:t>
            </w:r>
            <w:proofErr w:type="spellEnd"/>
            <w:r w:rsidRPr="00116D0B">
              <w:rPr>
                <w:rFonts w:ascii="Garamond" w:eastAsia="Times New Roman" w:hAnsi="Garamond" w:cs="Times New Roman"/>
                <w:b/>
                <w:bCs/>
                <w:color w:val="FFFFFF"/>
                <w:sz w:val="24"/>
                <w:szCs w:val="24"/>
              </w:rPr>
              <w:t xml:space="preserve"> / Tilli</w:t>
            </w:r>
          </w:p>
        </w:tc>
        <w:tc>
          <w:tcPr>
            <w:tcW w:w="804" w:type="dxa"/>
            <w:tcBorders>
              <w:top w:val="nil"/>
              <w:left w:val="nil"/>
              <w:bottom w:val="nil"/>
              <w:right w:val="nil"/>
            </w:tcBorders>
            <w:shd w:val="clear" w:color="549E39" w:fill="549E39"/>
            <w:noWrap/>
            <w:vAlign w:val="bottom"/>
            <w:hideMark/>
          </w:tcPr>
          <w:p w14:paraId="6BBA9DE2" w14:textId="3BF7D92F" w:rsidR="003A1DC2" w:rsidRPr="00116D0B" w:rsidRDefault="003A1DC2" w:rsidP="003A1DC2">
            <w:pPr>
              <w:widowControl/>
              <w:autoSpaceDE/>
              <w:autoSpaceDN/>
              <w:rPr>
                <w:rFonts w:ascii="Garamond" w:eastAsia="Times New Roman" w:hAnsi="Garamond" w:cs="Times New Roman"/>
                <w:b/>
                <w:bCs/>
                <w:color w:val="FFFFFF"/>
                <w:sz w:val="24"/>
                <w:szCs w:val="24"/>
              </w:rPr>
            </w:pPr>
            <w:r w:rsidRPr="00116D0B">
              <w:rPr>
                <w:rFonts w:ascii="Garamond" w:eastAsia="Times New Roman" w:hAnsi="Garamond" w:cs="Times New Roman"/>
                <w:b/>
                <w:bCs/>
                <w:color w:val="FFFFFF"/>
                <w:sz w:val="24"/>
                <w:szCs w:val="24"/>
              </w:rPr>
              <w:t>Total</w:t>
            </w:r>
          </w:p>
        </w:tc>
      </w:tr>
      <w:tr w:rsidR="003A1DC2" w:rsidRPr="00116D0B" w14:paraId="40A5F632" w14:textId="77777777" w:rsidTr="003A1DC2">
        <w:trPr>
          <w:trHeight w:val="580"/>
        </w:trPr>
        <w:tc>
          <w:tcPr>
            <w:tcW w:w="3160" w:type="dxa"/>
            <w:tcBorders>
              <w:top w:val="nil"/>
              <w:left w:val="nil"/>
              <w:bottom w:val="nil"/>
              <w:right w:val="nil"/>
            </w:tcBorders>
            <w:vAlign w:val="bottom"/>
            <w:hideMark/>
          </w:tcPr>
          <w:p w14:paraId="6D22BCDC"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Participation in decision-making for the community development</w:t>
            </w:r>
          </w:p>
        </w:tc>
        <w:tc>
          <w:tcPr>
            <w:tcW w:w="804" w:type="dxa"/>
            <w:tcBorders>
              <w:top w:val="nil"/>
              <w:left w:val="single" w:sz="4" w:space="0" w:color="93D07B"/>
              <w:bottom w:val="nil"/>
              <w:right w:val="single" w:sz="4" w:space="0" w:color="93D07B"/>
            </w:tcBorders>
            <w:noWrap/>
            <w:vAlign w:val="bottom"/>
            <w:hideMark/>
          </w:tcPr>
          <w:p w14:paraId="68B4286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7.4%</w:t>
            </w:r>
          </w:p>
        </w:tc>
        <w:tc>
          <w:tcPr>
            <w:tcW w:w="820" w:type="dxa"/>
            <w:tcBorders>
              <w:top w:val="nil"/>
              <w:left w:val="nil"/>
              <w:bottom w:val="nil"/>
              <w:right w:val="nil"/>
            </w:tcBorders>
            <w:noWrap/>
            <w:vAlign w:val="bottom"/>
            <w:hideMark/>
          </w:tcPr>
          <w:p w14:paraId="627EC13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3.8%</w:t>
            </w:r>
          </w:p>
        </w:tc>
        <w:tc>
          <w:tcPr>
            <w:tcW w:w="1020" w:type="dxa"/>
            <w:tcBorders>
              <w:top w:val="nil"/>
              <w:left w:val="single" w:sz="4" w:space="0" w:color="93D07B"/>
              <w:bottom w:val="nil"/>
              <w:right w:val="single" w:sz="4" w:space="0" w:color="93D07B"/>
            </w:tcBorders>
            <w:noWrap/>
            <w:vAlign w:val="bottom"/>
            <w:hideMark/>
          </w:tcPr>
          <w:p w14:paraId="33C77E5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18.0%</w:t>
            </w:r>
          </w:p>
        </w:tc>
        <w:tc>
          <w:tcPr>
            <w:tcW w:w="804" w:type="dxa"/>
            <w:tcBorders>
              <w:top w:val="nil"/>
              <w:left w:val="nil"/>
              <w:bottom w:val="nil"/>
              <w:right w:val="nil"/>
            </w:tcBorders>
            <w:noWrap/>
            <w:vAlign w:val="bottom"/>
            <w:hideMark/>
          </w:tcPr>
          <w:p w14:paraId="07460F1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48.7%</w:t>
            </w:r>
          </w:p>
        </w:tc>
        <w:tc>
          <w:tcPr>
            <w:tcW w:w="804" w:type="dxa"/>
            <w:tcBorders>
              <w:top w:val="nil"/>
              <w:left w:val="single" w:sz="4" w:space="0" w:color="93D07B"/>
              <w:bottom w:val="nil"/>
              <w:right w:val="single" w:sz="4" w:space="0" w:color="93D07B"/>
            </w:tcBorders>
            <w:noWrap/>
            <w:vAlign w:val="bottom"/>
            <w:hideMark/>
          </w:tcPr>
          <w:p w14:paraId="25BDD68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nil"/>
              <w:right w:val="nil"/>
            </w:tcBorders>
            <w:noWrap/>
            <w:vAlign w:val="bottom"/>
            <w:hideMark/>
          </w:tcPr>
          <w:p w14:paraId="7EDAAA9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82.6%</w:t>
            </w:r>
          </w:p>
        </w:tc>
        <w:tc>
          <w:tcPr>
            <w:tcW w:w="804" w:type="dxa"/>
            <w:tcBorders>
              <w:top w:val="nil"/>
              <w:left w:val="single" w:sz="4" w:space="0" w:color="93D07B"/>
              <w:bottom w:val="nil"/>
              <w:right w:val="single" w:sz="4" w:space="0" w:color="93D07B"/>
            </w:tcBorders>
            <w:noWrap/>
            <w:vAlign w:val="bottom"/>
            <w:hideMark/>
          </w:tcPr>
          <w:p w14:paraId="25D0392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33.9%</w:t>
            </w:r>
          </w:p>
        </w:tc>
        <w:tc>
          <w:tcPr>
            <w:tcW w:w="804" w:type="dxa"/>
            <w:tcBorders>
              <w:top w:val="nil"/>
              <w:left w:val="nil"/>
              <w:bottom w:val="nil"/>
              <w:right w:val="nil"/>
            </w:tcBorders>
            <w:noWrap/>
            <w:vAlign w:val="bottom"/>
            <w:hideMark/>
          </w:tcPr>
          <w:p w14:paraId="402C76A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2.6%</w:t>
            </w:r>
          </w:p>
        </w:tc>
        <w:tc>
          <w:tcPr>
            <w:tcW w:w="804" w:type="dxa"/>
            <w:tcBorders>
              <w:top w:val="nil"/>
              <w:left w:val="single" w:sz="4" w:space="0" w:color="93D07B"/>
              <w:bottom w:val="nil"/>
              <w:right w:val="single" w:sz="4" w:space="0" w:color="93D07B"/>
            </w:tcBorders>
            <w:noWrap/>
            <w:vAlign w:val="bottom"/>
            <w:hideMark/>
          </w:tcPr>
          <w:p w14:paraId="04D0284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16.5%</w:t>
            </w:r>
          </w:p>
        </w:tc>
      </w:tr>
      <w:tr w:rsidR="003A1DC2" w:rsidRPr="00116D0B" w14:paraId="05E39A6A" w14:textId="77777777" w:rsidTr="003A1DC2">
        <w:trPr>
          <w:trHeight w:val="290"/>
        </w:trPr>
        <w:tc>
          <w:tcPr>
            <w:tcW w:w="3160" w:type="dxa"/>
            <w:tcBorders>
              <w:top w:val="nil"/>
              <w:left w:val="nil"/>
              <w:bottom w:val="nil"/>
              <w:right w:val="nil"/>
            </w:tcBorders>
            <w:vAlign w:val="bottom"/>
            <w:hideMark/>
          </w:tcPr>
          <w:p w14:paraId="39E2C42A"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Boreholes</w:t>
            </w:r>
          </w:p>
        </w:tc>
        <w:tc>
          <w:tcPr>
            <w:tcW w:w="804" w:type="dxa"/>
            <w:tcBorders>
              <w:top w:val="nil"/>
              <w:left w:val="single" w:sz="4" w:space="0" w:color="93D07B"/>
              <w:bottom w:val="nil"/>
              <w:right w:val="single" w:sz="4" w:space="0" w:color="93D07B"/>
            </w:tcBorders>
            <w:noWrap/>
            <w:vAlign w:val="bottom"/>
            <w:hideMark/>
          </w:tcPr>
          <w:p w14:paraId="4B8C5D9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18.9%</w:t>
            </w:r>
          </w:p>
        </w:tc>
        <w:tc>
          <w:tcPr>
            <w:tcW w:w="820" w:type="dxa"/>
            <w:tcBorders>
              <w:top w:val="nil"/>
              <w:left w:val="nil"/>
              <w:bottom w:val="nil"/>
              <w:right w:val="nil"/>
            </w:tcBorders>
            <w:noWrap/>
            <w:vAlign w:val="bottom"/>
            <w:hideMark/>
          </w:tcPr>
          <w:p w14:paraId="62EF5DF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24.1%</w:t>
            </w:r>
          </w:p>
        </w:tc>
        <w:tc>
          <w:tcPr>
            <w:tcW w:w="1020" w:type="dxa"/>
            <w:tcBorders>
              <w:top w:val="nil"/>
              <w:left w:val="single" w:sz="4" w:space="0" w:color="93D07B"/>
              <w:bottom w:val="nil"/>
              <w:right w:val="single" w:sz="4" w:space="0" w:color="93D07B"/>
            </w:tcBorders>
            <w:noWrap/>
            <w:vAlign w:val="bottom"/>
            <w:hideMark/>
          </w:tcPr>
          <w:p w14:paraId="13F5C7F2"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20.0%</w:t>
            </w:r>
          </w:p>
        </w:tc>
        <w:tc>
          <w:tcPr>
            <w:tcW w:w="804" w:type="dxa"/>
            <w:tcBorders>
              <w:top w:val="nil"/>
              <w:left w:val="nil"/>
              <w:bottom w:val="nil"/>
              <w:right w:val="nil"/>
            </w:tcBorders>
            <w:noWrap/>
            <w:vAlign w:val="bottom"/>
            <w:hideMark/>
          </w:tcPr>
          <w:p w14:paraId="57044D4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5.1%</w:t>
            </w:r>
          </w:p>
        </w:tc>
        <w:tc>
          <w:tcPr>
            <w:tcW w:w="804" w:type="dxa"/>
            <w:tcBorders>
              <w:top w:val="nil"/>
              <w:left w:val="single" w:sz="4" w:space="0" w:color="93D07B"/>
              <w:bottom w:val="nil"/>
              <w:right w:val="single" w:sz="4" w:space="0" w:color="93D07B"/>
            </w:tcBorders>
            <w:noWrap/>
            <w:vAlign w:val="bottom"/>
            <w:hideMark/>
          </w:tcPr>
          <w:p w14:paraId="5B14953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7.7%</w:t>
            </w:r>
          </w:p>
        </w:tc>
        <w:tc>
          <w:tcPr>
            <w:tcW w:w="940" w:type="dxa"/>
            <w:tcBorders>
              <w:top w:val="nil"/>
              <w:left w:val="nil"/>
              <w:bottom w:val="nil"/>
              <w:right w:val="nil"/>
            </w:tcBorders>
            <w:noWrap/>
            <w:vAlign w:val="bottom"/>
            <w:hideMark/>
          </w:tcPr>
          <w:p w14:paraId="3FAE7B8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23C614F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9.2%</w:t>
            </w:r>
          </w:p>
        </w:tc>
        <w:tc>
          <w:tcPr>
            <w:tcW w:w="804" w:type="dxa"/>
            <w:tcBorders>
              <w:top w:val="nil"/>
              <w:left w:val="nil"/>
              <w:bottom w:val="nil"/>
              <w:right w:val="nil"/>
            </w:tcBorders>
            <w:noWrap/>
            <w:vAlign w:val="bottom"/>
            <w:hideMark/>
          </w:tcPr>
          <w:p w14:paraId="011EBAD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21.1%</w:t>
            </w:r>
          </w:p>
        </w:tc>
        <w:tc>
          <w:tcPr>
            <w:tcW w:w="804" w:type="dxa"/>
            <w:tcBorders>
              <w:top w:val="nil"/>
              <w:left w:val="single" w:sz="4" w:space="0" w:color="93D07B"/>
              <w:bottom w:val="nil"/>
              <w:right w:val="single" w:sz="4" w:space="0" w:color="93D07B"/>
            </w:tcBorders>
            <w:noWrap/>
            <w:vAlign w:val="bottom"/>
            <w:hideMark/>
          </w:tcPr>
          <w:p w14:paraId="12F2C10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15.2%</w:t>
            </w:r>
          </w:p>
        </w:tc>
      </w:tr>
      <w:tr w:rsidR="003A1DC2" w:rsidRPr="00116D0B" w14:paraId="624AE8A6" w14:textId="77777777" w:rsidTr="003A1DC2">
        <w:trPr>
          <w:trHeight w:val="290"/>
        </w:trPr>
        <w:tc>
          <w:tcPr>
            <w:tcW w:w="3160" w:type="dxa"/>
            <w:tcBorders>
              <w:top w:val="nil"/>
              <w:left w:val="nil"/>
              <w:bottom w:val="nil"/>
              <w:right w:val="nil"/>
            </w:tcBorders>
            <w:vAlign w:val="bottom"/>
            <w:hideMark/>
          </w:tcPr>
          <w:p w14:paraId="07A778F7"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Hospitals/PHCs</w:t>
            </w:r>
          </w:p>
        </w:tc>
        <w:tc>
          <w:tcPr>
            <w:tcW w:w="804" w:type="dxa"/>
            <w:tcBorders>
              <w:top w:val="nil"/>
              <w:left w:val="single" w:sz="4" w:space="0" w:color="93D07B"/>
              <w:bottom w:val="nil"/>
              <w:right w:val="single" w:sz="4" w:space="0" w:color="93D07B"/>
            </w:tcBorders>
            <w:noWrap/>
            <w:vAlign w:val="bottom"/>
            <w:hideMark/>
          </w:tcPr>
          <w:p w14:paraId="3ED84A2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20.0%</w:t>
            </w:r>
          </w:p>
        </w:tc>
        <w:tc>
          <w:tcPr>
            <w:tcW w:w="820" w:type="dxa"/>
            <w:tcBorders>
              <w:top w:val="nil"/>
              <w:left w:val="nil"/>
              <w:bottom w:val="nil"/>
              <w:right w:val="nil"/>
            </w:tcBorders>
            <w:noWrap/>
            <w:vAlign w:val="bottom"/>
            <w:hideMark/>
          </w:tcPr>
          <w:p w14:paraId="0AA16EA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15.2%</w:t>
            </w:r>
          </w:p>
        </w:tc>
        <w:tc>
          <w:tcPr>
            <w:tcW w:w="1020" w:type="dxa"/>
            <w:tcBorders>
              <w:top w:val="nil"/>
              <w:left w:val="single" w:sz="4" w:space="0" w:color="93D07B"/>
              <w:bottom w:val="nil"/>
              <w:right w:val="single" w:sz="4" w:space="0" w:color="93D07B"/>
            </w:tcBorders>
            <w:noWrap/>
            <w:vAlign w:val="bottom"/>
            <w:hideMark/>
          </w:tcPr>
          <w:p w14:paraId="6E1EF2E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16.0%</w:t>
            </w:r>
          </w:p>
        </w:tc>
        <w:tc>
          <w:tcPr>
            <w:tcW w:w="804" w:type="dxa"/>
            <w:tcBorders>
              <w:top w:val="nil"/>
              <w:left w:val="nil"/>
              <w:bottom w:val="nil"/>
              <w:right w:val="nil"/>
            </w:tcBorders>
            <w:noWrap/>
            <w:vAlign w:val="bottom"/>
            <w:hideMark/>
          </w:tcPr>
          <w:p w14:paraId="345979E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2.6%</w:t>
            </w:r>
          </w:p>
        </w:tc>
        <w:tc>
          <w:tcPr>
            <w:tcW w:w="804" w:type="dxa"/>
            <w:tcBorders>
              <w:top w:val="nil"/>
              <w:left w:val="single" w:sz="4" w:space="0" w:color="93D07B"/>
              <w:bottom w:val="nil"/>
              <w:right w:val="single" w:sz="4" w:space="0" w:color="93D07B"/>
            </w:tcBorders>
            <w:noWrap/>
            <w:vAlign w:val="bottom"/>
            <w:hideMark/>
          </w:tcPr>
          <w:p w14:paraId="67A5B79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19.2%</w:t>
            </w:r>
          </w:p>
        </w:tc>
        <w:tc>
          <w:tcPr>
            <w:tcW w:w="940" w:type="dxa"/>
            <w:tcBorders>
              <w:top w:val="nil"/>
              <w:left w:val="nil"/>
              <w:bottom w:val="nil"/>
              <w:right w:val="nil"/>
            </w:tcBorders>
            <w:noWrap/>
            <w:vAlign w:val="bottom"/>
            <w:hideMark/>
          </w:tcPr>
          <w:p w14:paraId="5B8098D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6F74FF9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11.0%</w:t>
            </w:r>
          </w:p>
        </w:tc>
        <w:tc>
          <w:tcPr>
            <w:tcW w:w="804" w:type="dxa"/>
            <w:tcBorders>
              <w:top w:val="nil"/>
              <w:left w:val="nil"/>
              <w:bottom w:val="nil"/>
              <w:right w:val="nil"/>
            </w:tcBorders>
            <w:noWrap/>
            <w:vAlign w:val="bottom"/>
            <w:hideMark/>
          </w:tcPr>
          <w:p w14:paraId="767D611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18.4%</w:t>
            </w:r>
          </w:p>
        </w:tc>
        <w:tc>
          <w:tcPr>
            <w:tcW w:w="804" w:type="dxa"/>
            <w:tcBorders>
              <w:top w:val="nil"/>
              <w:left w:val="single" w:sz="4" w:space="0" w:color="93D07B"/>
              <w:bottom w:val="nil"/>
              <w:right w:val="single" w:sz="4" w:space="0" w:color="93D07B"/>
            </w:tcBorders>
            <w:noWrap/>
            <w:vAlign w:val="bottom"/>
            <w:hideMark/>
          </w:tcPr>
          <w:p w14:paraId="4302ED0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15.0%</w:t>
            </w:r>
          </w:p>
        </w:tc>
      </w:tr>
      <w:tr w:rsidR="003A1DC2" w:rsidRPr="00116D0B" w14:paraId="23B466FC" w14:textId="77777777" w:rsidTr="003A1DC2">
        <w:trPr>
          <w:trHeight w:val="290"/>
        </w:trPr>
        <w:tc>
          <w:tcPr>
            <w:tcW w:w="3160" w:type="dxa"/>
            <w:tcBorders>
              <w:top w:val="nil"/>
              <w:left w:val="nil"/>
              <w:bottom w:val="nil"/>
              <w:right w:val="nil"/>
            </w:tcBorders>
            <w:vAlign w:val="bottom"/>
            <w:hideMark/>
          </w:tcPr>
          <w:p w14:paraId="6ECC055D"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Schools</w:t>
            </w:r>
          </w:p>
        </w:tc>
        <w:tc>
          <w:tcPr>
            <w:tcW w:w="804" w:type="dxa"/>
            <w:tcBorders>
              <w:top w:val="nil"/>
              <w:left w:val="single" w:sz="4" w:space="0" w:color="93D07B"/>
              <w:bottom w:val="nil"/>
              <w:right w:val="single" w:sz="4" w:space="0" w:color="93D07B"/>
            </w:tcBorders>
            <w:noWrap/>
            <w:vAlign w:val="bottom"/>
            <w:hideMark/>
          </w:tcPr>
          <w:p w14:paraId="23F6B18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17.9%</w:t>
            </w:r>
          </w:p>
        </w:tc>
        <w:tc>
          <w:tcPr>
            <w:tcW w:w="820" w:type="dxa"/>
            <w:tcBorders>
              <w:top w:val="nil"/>
              <w:left w:val="nil"/>
              <w:bottom w:val="nil"/>
              <w:right w:val="nil"/>
            </w:tcBorders>
            <w:noWrap/>
            <w:vAlign w:val="bottom"/>
            <w:hideMark/>
          </w:tcPr>
          <w:p w14:paraId="4A06564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13.9%</w:t>
            </w:r>
          </w:p>
        </w:tc>
        <w:tc>
          <w:tcPr>
            <w:tcW w:w="1020" w:type="dxa"/>
            <w:tcBorders>
              <w:top w:val="nil"/>
              <w:left w:val="single" w:sz="4" w:space="0" w:color="93D07B"/>
              <w:bottom w:val="nil"/>
              <w:right w:val="single" w:sz="4" w:space="0" w:color="93D07B"/>
            </w:tcBorders>
            <w:noWrap/>
            <w:vAlign w:val="bottom"/>
            <w:hideMark/>
          </w:tcPr>
          <w:p w14:paraId="702986E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6.0%</w:t>
            </w:r>
          </w:p>
        </w:tc>
        <w:tc>
          <w:tcPr>
            <w:tcW w:w="804" w:type="dxa"/>
            <w:tcBorders>
              <w:top w:val="nil"/>
              <w:left w:val="nil"/>
              <w:bottom w:val="nil"/>
              <w:right w:val="nil"/>
            </w:tcBorders>
            <w:noWrap/>
            <w:vAlign w:val="bottom"/>
            <w:hideMark/>
          </w:tcPr>
          <w:p w14:paraId="042988A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2.6%</w:t>
            </w:r>
          </w:p>
        </w:tc>
        <w:tc>
          <w:tcPr>
            <w:tcW w:w="804" w:type="dxa"/>
            <w:tcBorders>
              <w:top w:val="nil"/>
              <w:left w:val="single" w:sz="4" w:space="0" w:color="93D07B"/>
              <w:bottom w:val="nil"/>
              <w:right w:val="single" w:sz="4" w:space="0" w:color="93D07B"/>
            </w:tcBorders>
            <w:noWrap/>
            <w:vAlign w:val="bottom"/>
            <w:hideMark/>
          </w:tcPr>
          <w:p w14:paraId="486CAA8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11.5%</w:t>
            </w:r>
          </w:p>
        </w:tc>
        <w:tc>
          <w:tcPr>
            <w:tcW w:w="940" w:type="dxa"/>
            <w:tcBorders>
              <w:top w:val="nil"/>
              <w:left w:val="nil"/>
              <w:bottom w:val="nil"/>
              <w:right w:val="nil"/>
            </w:tcBorders>
            <w:noWrap/>
            <w:vAlign w:val="bottom"/>
            <w:hideMark/>
          </w:tcPr>
          <w:p w14:paraId="0BD64BB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37247DE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7.3%</w:t>
            </w:r>
          </w:p>
        </w:tc>
        <w:tc>
          <w:tcPr>
            <w:tcW w:w="804" w:type="dxa"/>
            <w:tcBorders>
              <w:top w:val="nil"/>
              <w:left w:val="nil"/>
              <w:bottom w:val="nil"/>
              <w:right w:val="nil"/>
            </w:tcBorders>
            <w:noWrap/>
            <w:vAlign w:val="bottom"/>
            <w:hideMark/>
          </w:tcPr>
          <w:p w14:paraId="0DFFFF5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23.7%</w:t>
            </w:r>
          </w:p>
        </w:tc>
        <w:tc>
          <w:tcPr>
            <w:tcW w:w="804" w:type="dxa"/>
            <w:tcBorders>
              <w:top w:val="nil"/>
              <w:left w:val="single" w:sz="4" w:space="0" w:color="93D07B"/>
              <w:bottom w:val="nil"/>
              <w:right w:val="single" w:sz="4" w:space="0" w:color="93D07B"/>
            </w:tcBorders>
            <w:noWrap/>
            <w:vAlign w:val="bottom"/>
            <w:hideMark/>
          </w:tcPr>
          <w:p w14:paraId="30F4357A"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12.9%</w:t>
            </w:r>
          </w:p>
        </w:tc>
      </w:tr>
      <w:tr w:rsidR="003A1DC2" w:rsidRPr="00116D0B" w14:paraId="56C2D95D" w14:textId="77777777" w:rsidTr="003A1DC2">
        <w:trPr>
          <w:trHeight w:val="290"/>
        </w:trPr>
        <w:tc>
          <w:tcPr>
            <w:tcW w:w="3160" w:type="dxa"/>
            <w:tcBorders>
              <w:top w:val="nil"/>
              <w:left w:val="nil"/>
              <w:bottom w:val="nil"/>
              <w:right w:val="nil"/>
            </w:tcBorders>
            <w:vAlign w:val="bottom"/>
            <w:hideMark/>
          </w:tcPr>
          <w:p w14:paraId="5ADF86F8"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Roads/Drainages</w:t>
            </w:r>
          </w:p>
        </w:tc>
        <w:tc>
          <w:tcPr>
            <w:tcW w:w="804" w:type="dxa"/>
            <w:tcBorders>
              <w:top w:val="nil"/>
              <w:left w:val="single" w:sz="4" w:space="0" w:color="93D07B"/>
              <w:bottom w:val="nil"/>
              <w:right w:val="single" w:sz="4" w:space="0" w:color="93D07B"/>
            </w:tcBorders>
            <w:noWrap/>
            <w:vAlign w:val="bottom"/>
            <w:hideMark/>
          </w:tcPr>
          <w:p w14:paraId="4C49C57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6.3%</w:t>
            </w:r>
          </w:p>
        </w:tc>
        <w:tc>
          <w:tcPr>
            <w:tcW w:w="820" w:type="dxa"/>
            <w:tcBorders>
              <w:top w:val="nil"/>
              <w:left w:val="nil"/>
              <w:bottom w:val="nil"/>
              <w:right w:val="nil"/>
            </w:tcBorders>
            <w:noWrap/>
            <w:vAlign w:val="bottom"/>
            <w:hideMark/>
          </w:tcPr>
          <w:p w14:paraId="452A2DB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16.5%</w:t>
            </w:r>
          </w:p>
        </w:tc>
        <w:tc>
          <w:tcPr>
            <w:tcW w:w="1020" w:type="dxa"/>
            <w:tcBorders>
              <w:top w:val="nil"/>
              <w:left w:val="single" w:sz="4" w:space="0" w:color="93D07B"/>
              <w:bottom w:val="nil"/>
              <w:right w:val="single" w:sz="4" w:space="0" w:color="93D07B"/>
            </w:tcBorders>
            <w:noWrap/>
            <w:vAlign w:val="bottom"/>
            <w:hideMark/>
          </w:tcPr>
          <w:p w14:paraId="7E29A9F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6.0%</w:t>
            </w:r>
          </w:p>
        </w:tc>
        <w:tc>
          <w:tcPr>
            <w:tcW w:w="804" w:type="dxa"/>
            <w:tcBorders>
              <w:top w:val="nil"/>
              <w:left w:val="nil"/>
              <w:bottom w:val="nil"/>
              <w:right w:val="nil"/>
            </w:tcBorders>
            <w:noWrap/>
            <w:vAlign w:val="bottom"/>
            <w:hideMark/>
          </w:tcPr>
          <w:p w14:paraId="1F6B323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6E714F3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25.6%</w:t>
            </w:r>
          </w:p>
        </w:tc>
        <w:tc>
          <w:tcPr>
            <w:tcW w:w="940" w:type="dxa"/>
            <w:tcBorders>
              <w:top w:val="nil"/>
              <w:left w:val="nil"/>
              <w:bottom w:val="nil"/>
              <w:right w:val="nil"/>
            </w:tcBorders>
            <w:noWrap/>
            <w:vAlign w:val="bottom"/>
            <w:hideMark/>
          </w:tcPr>
          <w:p w14:paraId="0BF849B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4.3%</w:t>
            </w:r>
          </w:p>
        </w:tc>
        <w:tc>
          <w:tcPr>
            <w:tcW w:w="804" w:type="dxa"/>
            <w:tcBorders>
              <w:top w:val="nil"/>
              <w:left w:val="single" w:sz="4" w:space="0" w:color="93D07B"/>
              <w:bottom w:val="nil"/>
              <w:right w:val="single" w:sz="4" w:space="0" w:color="93D07B"/>
            </w:tcBorders>
            <w:noWrap/>
            <w:vAlign w:val="bottom"/>
            <w:hideMark/>
          </w:tcPr>
          <w:p w14:paraId="4F30EACA"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w:t>
            </w:r>
          </w:p>
        </w:tc>
        <w:tc>
          <w:tcPr>
            <w:tcW w:w="804" w:type="dxa"/>
            <w:tcBorders>
              <w:top w:val="nil"/>
              <w:left w:val="nil"/>
              <w:bottom w:val="nil"/>
              <w:right w:val="nil"/>
            </w:tcBorders>
            <w:noWrap/>
            <w:vAlign w:val="bottom"/>
            <w:hideMark/>
          </w:tcPr>
          <w:p w14:paraId="22AC242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8.8%</w:t>
            </w:r>
          </w:p>
        </w:tc>
        <w:tc>
          <w:tcPr>
            <w:tcW w:w="804" w:type="dxa"/>
            <w:tcBorders>
              <w:top w:val="nil"/>
              <w:left w:val="single" w:sz="4" w:space="0" w:color="93D07B"/>
              <w:bottom w:val="nil"/>
              <w:right w:val="single" w:sz="4" w:space="0" w:color="93D07B"/>
            </w:tcBorders>
            <w:noWrap/>
            <w:vAlign w:val="bottom"/>
            <w:hideMark/>
          </w:tcPr>
          <w:p w14:paraId="40F3745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9.4%</w:t>
            </w:r>
          </w:p>
        </w:tc>
      </w:tr>
      <w:tr w:rsidR="003A1DC2" w:rsidRPr="00116D0B" w14:paraId="60FED172" w14:textId="77777777" w:rsidTr="003A1DC2">
        <w:trPr>
          <w:trHeight w:val="290"/>
        </w:trPr>
        <w:tc>
          <w:tcPr>
            <w:tcW w:w="3160" w:type="dxa"/>
            <w:tcBorders>
              <w:top w:val="nil"/>
              <w:left w:val="nil"/>
              <w:bottom w:val="nil"/>
              <w:right w:val="nil"/>
            </w:tcBorders>
            <w:vAlign w:val="bottom"/>
            <w:hideMark/>
          </w:tcPr>
          <w:p w14:paraId="0C19A1A0"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Agricultural inputs/Fertilizer</w:t>
            </w:r>
          </w:p>
        </w:tc>
        <w:tc>
          <w:tcPr>
            <w:tcW w:w="804" w:type="dxa"/>
            <w:tcBorders>
              <w:top w:val="nil"/>
              <w:left w:val="single" w:sz="4" w:space="0" w:color="93D07B"/>
              <w:bottom w:val="nil"/>
              <w:right w:val="single" w:sz="4" w:space="0" w:color="93D07B"/>
            </w:tcBorders>
            <w:noWrap/>
            <w:vAlign w:val="bottom"/>
            <w:hideMark/>
          </w:tcPr>
          <w:p w14:paraId="4E5A2CA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10.5%</w:t>
            </w:r>
          </w:p>
        </w:tc>
        <w:tc>
          <w:tcPr>
            <w:tcW w:w="820" w:type="dxa"/>
            <w:tcBorders>
              <w:top w:val="nil"/>
              <w:left w:val="nil"/>
              <w:bottom w:val="nil"/>
              <w:right w:val="nil"/>
            </w:tcBorders>
            <w:noWrap/>
            <w:vAlign w:val="bottom"/>
            <w:hideMark/>
          </w:tcPr>
          <w:p w14:paraId="746EC41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7.6%</w:t>
            </w:r>
          </w:p>
        </w:tc>
        <w:tc>
          <w:tcPr>
            <w:tcW w:w="1020" w:type="dxa"/>
            <w:tcBorders>
              <w:top w:val="nil"/>
              <w:left w:val="single" w:sz="4" w:space="0" w:color="93D07B"/>
              <w:bottom w:val="nil"/>
              <w:right w:val="single" w:sz="4" w:space="0" w:color="93D07B"/>
            </w:tcBorders>
            <w:noWrap/>
            <w:vAlign w:val="bottom"/>
            <w:hideMark/>
          </w:tcPr>
          <w:p w14:paraId="5866DCD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14.0%</w:t>
            </w:r>
          </w:p>
        </w:tc>
        <w:tc>
          <w:tcPr>
            <w:tcW w:w="804" w:type="dxa"/>
            <w:tcBorders>
              <w:top w:val="nil"/>
              <w:left w:val="nil"/>
              <w:bottom w:val="nil"/>
              <w:right w:val="nil"/>
            </w:tcBorders>
            <w:noWrap/>
            <w:vAlign w:val="bottom"/>
            <w:hideMark/>
          </w:tcPr>
          <w:p w14:paraId="7D32D61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5.1%</w:t>
            </w:r>
          </w:p>
        </w:tc>
        <w:tc>
          <w:tcPr>
            <w:tcW w:w="804" w:type="dxa"/>
            <w:tcBorders>
              <w:top w:val="nil"/>
              <w:left w:val="single" w:sz="4" w:space="0" w:color="93D07B"/>
              <w:bottom w:val="nil"/>
              <w:right w:val="single" w:sz="4" w:space="0" w:color="93D07B"/>
            </w:tcBorders>
            <w:noWrap/>
            <w:vAlign w:val="bottom"/>
            <w:hideMark/>
          </w:tcPr>
          <w:p w14:paraId="224BC36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5.1%</w:t>
            </w:r>
          </w:p>
        </w:tc>
        <w:tc>
          <w:tcPr>
            <w:tcW w:w="940" w:type="dxa"/>
            <w:tcBorders>
              <w:top w:val="nil"/>
              <w:left w:val="nil"/>
              <w:bottom w:val="nil"/>
              <w:right w:val="nil"/>
            </w:tcBorders>
            <w:noWrap/>
            <w:vAlign w:val="bottom"/>
            <w:hideMark/>
          </w:tcPr>
          <w:p w14:paraId="4F938C3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4.3%</w:t>
            </w:r>
          </w:p>
        </w:tc>
        <w:tc>
          <w:tcPr>
            <w:tcW w:w="804" w:type="dxa"/>
            <w:tcBorders>
              <w:top w:val="nil"/>
              <w:left w:val="single" w:sz="4" w:space="0" w:color="93D07B"/>
              <w:bottom w:val="nil"/>
              <w:right w:val="single" w:sz="4" w:space="0" w:color="93D07B"/>
            </w:tcBorders>
            <w:noWrap/>
            <w:vAlign w:val="bottom"/>
            <w:hideMark/>
          </w:tcPr>
          <w:p w14:paraId="6A765532"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11.0%</w:t>
            </w:r>
          </w:p>
        </w:tc>
        <w:tc>
          <w:tcPr>
            <w:tcW w:w="804" w:type="dxa"/>
            <w:tcBorders>
              <w:top w:val="nil"/>
              <w:left w:val="nil"/>
              <w:bottom w:val="nil"/>
              <w:right w:val="nil"/>
            </w:tcBorders>
            <w:noWrap/>
            <w:vAlign w:val="bottom"/>
            <w:hideMark/>
          </w:tcPr>
          <w:p w14:paraId="58AF42B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10.5%</w:t>
            </w:r>
          </w:p>
        </w:tc>
        <w:tc>
          <w:tcPr>
            <w:tcW w:w="804" w:type="dxa"/>
            <w:tcBorders>
              <w:top w:val="nil"/>
              <w:left w:val="single" w:sz="4" w:space="0" w:color="93D07B"/>
              <w:bottom w:val="nil"/>
              <w:right w:val="single" w:sz="4" w:space="0" w:color="93D07B"/>
            </w:tcBorders>
            <w:noWrap/>
            <w:vAlign w:val="bottom"/>
            <w:hideMark/>
          </w:tcPr>
          <w:p w14:paraId="56A05C3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9.2%</w:t>
            </w:r>
          </w:p>
        </w:tc>
      </w:tr>
      <w:tr w:rsidR="003A1DC2" w:rsidRPr="00116D0B" w14:paraId="2B1C42EA" w14:textId="77777777" w:rsidTr="003A1DC2">
        <w:trPr>
          <w:trHeight w:val="580"/>
        </w:trPr>
        <w:tc>
          <w:tcPr>
            <w:tcW w:w="3160" w:type="dxa"/>
            <w:tcBorders>
              <w:top w:val="nil"/>
              <w:left w:val="nil"/>
              <w:bottom w:val="nil"/>
              <w:right w:val="nil"/>
            </w:tcBorders>
            <w:vAlign w:val="bottom"/>
            <w:hideMark/>
          </w:tcPr>
          <w:p w14:paraId="2AB5DAFB"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Jobs for Youths/Entrepreneur center</w:t>
            </w:r>
          </w:p>
        </w:tc>
        <w:tc>
          <w:tcPr>
            <w:tcW w:w="804" w:type="dxa"/>
            <w:tcBorders>
              <w:top w:val="nil"/>
              <w:left w:val="single" w:sz="4" w:space="0" w:color="93D07B"/>
              <w:bottom w:val="nil"/>
              <w:right w:val="single" w:sz="4" w:space="0" w:color="93D07B"/>
            </w:tcBorders>
            <w:noWrap/>
            <w:vAlign w:val="bottom"/>
            <w:hideMark/>
          </w:tcPr>
          <w:p w14:paraId="1D9E9D7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10.5%</w:t>
            </w:r>
          </w:p>
        </w:tc>
        <w:tc>
          <w:tcPr>
            <w:tcW w:w="820" w:type="dxa"/>
            <w:tcBorders>
              <w:top w:val="nil"/>
              <w:left w:val="nil"/>
              <w:bottom w:val="nil"/>
              <w:right w:val="nil"/>
            </w:tcBorders>
            <w:noWrap/>
            <w:vAlign w:val="bottom"/>
            <w:hideMark/>
          </w:tcPr>
          <w:p w14:paraId="690C70C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13.9%</w:t>
            </w:r>
          </w:p>
        </w:tc>
        <w:tc>
          <w:tcPr>
            <w:tcW w:w="1020" w:type="dxa"/>
            <w:tcBorders>
              <w:top w:val="nil"/>
              <w:left w:val="single" w:sz="4" w:space="0" w:color="93D07B"/>
              <w:bottom w:val="nil"/>
              <w:right w:val="single" w:sz="4" w:space="0" w:color="93D07B"/>
            </w:tcBorders>
            <w:noWrap/>
            <w:vAlign w:val="bottom"/>
            <w:hideMark/>
          </w:tcPr>
          <w:p w14:paraId="1D4EFD6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12.0%</w:t>
            </w:r>
          </w:p>
        </w:tc>
        <w:tc>
          <w:tcPr>
            <w:tcW w:w="804" w:type="dxa"/>
            <w:tcBorders>
              <w:top w:val="nil"/>
              <w:left w:val="nil"/>
              <w:bottom w:val="nil"/>
              <w:right w:val="nil"/>
            </w:tcBorders>
            <w:noWrap/>
            <w:vAlign w:val="bottom"/>
            <w:hideMark/>
          </w:tcPr>
          <w:p w14:paraId="7A5CF97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12.8%</w:t>
            </w:r>
          </w:p>
        </w:tc>
        <w:tc>
          <w:tcPr>
            <w:tcW w:w="804" w:type="dxa"/>
            <w:tcBorders>
              <w:top w:val="nil"/>
              <w:left w:val="single" w:sz="4" w:space="0" w:color="93D07B"/>
              <w:bottom w:val="nil"/>
              <w:right w:val="single" w:sz="4" w:space="0" w:color="93D07B"/>
            </w:tcBorders>
            <w:noWrap/>
            <w:vAlign w:val="bottom"/>
            <w:hideMark/>
          </w:tcPr>
          <w:p w14:paraId="5BDC27C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3.8%</w:t>
            </w:r>
          </w:p>
        </w:tc>
        <w:tc>
          <w:tcPr>
            <w:tcW w:w="940" w:type="dxa"/>
            <w:tcBorders>
              <w:top w:val="nil"/>
              <w:left w:val="nil"/>
              <w:bottom w:val="nil"/>
              <w:right w:val="nil"/>
            </w:tcBorders>
            <w:noWrap/>
            <w:vAlign w:val="bottom"/>
            <w:hideMark/>
          </w:tcPr>
          <w:p w14:paraId="27EE980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074BB1E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11.9%</w:t>
            </w:r>
          </w:p>
        </w:tc>
        <w:tc>
          <w:tcPr>
            <w:tcW w:w="804" w:type="dxa"/>
            <w:tcBorders>
              <w:top w:val="nil"/>
              <w:left w:val="nil"/>
              <w:bottom w:val="nil"/>
              <w:right w:val="nil"/>
            </w:tcBorders>
            <w:noWrap/>
            <w:vAlign w:val="bottom"/>
            <w:hideMark/>
          </w:tcPr>
          <w:p w14:paraId="7DF548A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4.4%</w:t>
            </w:r>
          </w:p>
        </w:tc>
        <w:tc>
          <w:tcPr>
            <w:tcW w:w="804" w:type="dxa"/>
            <w:tcBorders>
              <w:top w:val="nil"/>
              <w:left w:val="single" w:sz="4" w:space="0" w:color="93D07B"/>
              <w:bottom w:val="nil"/>
              <w:right w:val="single" w:sz="4" w:space="0" w:color="93D07B"/>
            </w:tcBorders>
            <w:noWrap/>
            <w:vAlign w:val="bottom"/>
            <w:hideMark/>
          </w:tcPr>
          <w:p w14:paraId="45F0348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9.0%</w:t>
            </w:r>
          </w:p>
        </w:tc>
      </w:tr>
      <w:tr w:rsidR="003A1DC2" w:rsidRPr="00116D0B" w14:paraId="270E2D47" w14:textId="77777777" w:rsidTr="003A1DC2">
        <w:trPr>
          <w:trHeight w:val="290"/>
        </w:trPr>
        <w:tc>
          <w:tcPr>
            <w:tcW w:w="3160" w:type="dxa"/>
            <w:tcBorders>
              <w:top w:val="nil"/>
              <w:left w:val="nil"/>
              <w:bottom w:val="nil"/>
              <w:right w:val="nil"/>
            </w:tcBorders>
            <w:vAlign w:val="bottom"/>
            <w:hideMark/>
          </w:tcPr>
          <w:p w14:paraId="763FC7FF"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Food items</w:t>
            </w:r>
          </w:p>
        </w:tc>
        <w:tc>
          <w:tcPr>
            <w:tcW w:w="804" w:type="dxa"/>
            <w:tcBorders>
              <w:top w:val="nil"/>
              <w:left w:val="single" w:sz="4" w:space="0" w:color="93D07B"/>
              <w:bottom w:val="nil"/>
              <w:right w:val="single" w:sz="4" w:space="0" w:color="93D07B"/>
            </w:tcBorders>
            <w:noWrap/>
            <w:vAlign w:val="bottom"/>
            <w:hideMark/>
          </w:tcPr>
          <w:p w14:paraId="07E87C4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20" w:type="dxa"/>
            <w:tcBorders>
              <w:top w:val="nil"/>
              <w:left w:val="nil"/>
              <w:bottom w:val="nil"/>
              <w:right w:val="nil"/>
            </w:tcBorders>
            <w:noWrap/>
            <w:vAlign w:val="bottom"/>
            <w:hideMark/>
          </w:tcPr>
          <w:p w14:paraId="7CF5306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1020" w:type="dxa"/>
            <w:tcBorders>
              <w:top w:val="nil"/>
              <w:left w:val="single" w:sz="4" w:space="0" w:color="93D07B"/>
              <w:bottom w:val="nil"/>
              <w:right w:val="single" w:sz="4" w:space="0" w:color="93D07B"/>
            </w:tcBorders>
            <w:noWrap/>
            <w:vAlign w:val="bottom"/>
            <w:hideMark/>
          </w:tcPr>
          <w:p w14:paraId="654F7DA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nil"/>
              <w:bottom w:val="nil"/>
              <w:right w:val="nil"/>
            </w:tcBorders>
            <w:noWrap/>
            <w:vAlign w:val="bottom"/>
            <w:hideMark/>
          </w:tcPr>
          <w:p w14:paraId="3593F7B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5.1%</w:t>
            </w:r>
          </w:p>
        </w:tc>
        <w:tc>
          <w:tcPr>
            <w:tcW w:w="804" w:type="dxa"/>
            <w:tcBorders>
              <w:top w:val="nil"/>
              <w:left w:val="single" w:sz="4" w:space="0" w:color="93D07B"/>
              <w:bottom w:val="nil"/>
              <w:right w:val="single" w:sz="4" w:space="0" w:color="93D07B"/>
            </w:tcBorders>
            <w:noWrap/>
            <w:vAlign w:val="bottom"/>
            <w:hideMark/>
          </w:tcPr>
          <w:p w14:paraId="0891DF2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19.2%</w:t>
            </w:r>
          </w:p>
        </w:tc>
        <w:tc>
          <w:tcPr>
            <w:tcW w:w="940" w:type="dxa"/>
            <w:tcBorders>
              <w:top w:val="nil"/>
              <w:left w:val="nil"/>
              <w:bottom w:val="nil"/>
              <w:right w:val="nil"/>
            </w:tcBorders>
            <w:noWrap/>
            <w:vAlign w:val="bottom"/>
            <w:hideMark/>
          </w:tcPr>
          <w:p w14:paraId="5F298D5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58201DB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w:t>
            </w:r>
          </w:p>
        </w:tc>
        <w:tc>
          <w:tcPr>
            <w:tcW w:w="804" w:type="dxa"/>
            <w:tcBorders>
              <w:top w:val="nil"/>
              <w:left w:val="nil"/>
              <w:bottom w:val="nil"/>
              <w:right w:val="nil"/>
            </w:tcBorders>
            <w:noWrap/>
            <w:vAlign w:val="bottom"/>
            <w:hideMark/>
          </w:tcPr>
          <w:p w14:paraId="6320F0E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01C6148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3.2%</w:t>
            </w:r>
          </w:p>
        </w:tc>
      </w:tr>
      <w:tr w:rsidR="003A1DC2" w:rsidRPr="00116D0B" w14:paraId="099A2952" w14:textId="77777777" w:rsidTr="003A1DC2">
        <w:trPr>
          <w:trHeight w:val="290"/>
        </w:trPr>
        <w:tc>
          <w:tcPr>
            <w:tcW w:w="3160" w:type="dxa"/>
            <w:tcBorders>
              <w:top w:val="nil"/>
              <w:left w:val="nil"/>
              <w:bottom w:val="nil"/>
              <w:right w:val="nil"/>
            </w:tcBorders>
            <w:vAlign w:val="bottom"/>
            <w:hideMark/>
          </w:tcPr>
          <w:p w14:paraId="65EBB30B"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Market square/stalls</w:t>
            </w:r>
          </w:p>
        </w:tc>
        <w:tc>
          <w:tcPr>
            <w:tcW w:w="804" w:type="dxa"/>
            <w:tcBorders>
              <w:top w:val="nil"/>
              <w:left w:val="single" w:sz="4" w:space="0" w:color="93D07B"/>
              <w:bottom w:val="nil"/>
              <w:right w:val="single" w:sz="4" w:space="0" w:color="93D07B"/>
            </w:tcBorders>
            <w:noWrap/>
            <w:vAlign w:val="bottom"/>
            <w:hideMark/>
          </w:tcPr>
          <w:p w14:paraId="1E408AF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2.1%</w:t>
            </w:r>
          </w:p>
        </w:tc>
        <w:tc>
          <w:tcPr>
            <w:tcW w:w="820" w:type="dxa"/>
            <w:tcBorders>
              <w:top w:val="nil"/>
              <w:left w:val="nil"/>
              <w:bottom w:val="nil"/>
              <w:right w:val="nil"/>
            </w:tcBorders>
            <w:noWrap/>
            <w:vAlign w:val="bottom"/>
            <w:hideMark/>
          </w:tcPr>
          <w:p w14:paraId="2D1FAA4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1020" w:type="dxa"/>
            <w:tcBorders>
              <w:top w:val="nil"/>
              <w:left w:val="single" w:sz="4" w:space="0" w:color="93D07B"/>
              <w:bottom w:val="nil"/>
              <w:right w:val="single" w:sz="4" w:space="0" w:color="93D07B"/>
            </w:tcBorders>
            <w:noWrap/>
            <w:vAlign w:val="bottom"/>
            <w:hideMark/>
          </w:tcPr>
          <w:p w14:paraId="32D528E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nil"/>
              <w:bottom w:val="nil"/>
              <w:right w:val="nil"/>
            </w:tcBorders>
            <w:noWrap/>
            <w:vAlign w:val="bottom"/>
            <w:hideMark/>
          </w:tcPr>
          <w:p w14:paraId="368E48E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2.6%</w:t>
            </w:r>
          </w:p>
        </w:tc>
        <w:tc>
          <w:tcPr>
            <w:tcW w:w="804" w:type="dxa"/>
            <w:tcBorders>
              <w:top w:val="nil"/>
              <w:left w:val="single" w:sz="4" w:space="0" w:color="93D07B"/>
              <w:bottom w:val="nil"/>
              <w:right w:val="single" w:sz="4" w:space="0" w:color="93D07B"/>
            </w:tcBorders>
            <w:noWrap/>
            <w:vAlign w:val="bottom"/>
            <w:hideMark/>
          </w:tcPr>
          <w:p w14:paraId="0B90C2B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nil"/>
              <w:right w:val="nil"/>
            </w:tcBorders>
            <w:noWrap/>
            <w:vAlign w:val="bottom"/>
            <w:hideMark/>
          </w:tcPr>
          <w:p w14:paraId="4B8A50FA"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14515BA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1.8%</w:t>
            </w:r>
          </w:p>
        </w:tc>
        <w:tc>
          <w:tcPr>
            <w:tcW w:w="804" w:type="dxa"/>
            <w:tcBorders>
              <w:top w:val="nil"/>
              <w:left w:val="nil"/>
              <w:bottom w:val="nil"/>
              <w:right w:val="nil"/>
            </w:tcBorders>
            <w:noWrap/>
            <w:vAlign w:val="bottom"/>
            <w:hideMark/>
          </w:tcPr>
          <w:p w14:paraId="10356DB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9.6%</w:t>
            </w:r>
          </w:p>
        </w:tc>
        <w:tc>
          <w:tcPr>
            <w:tcW w:w="804" w:type="dxa"/>
            <w:tcBorders>
              <w:top w:val="nil"/>
              <w:left w:val="single" w:sz="4" w:space="0" w:color="93D07B"/>
              <w:bottom w:val="nil"/>
              <w:right w:val="single" w:sz="4" w:space="0" w:color="93D07B"/>
            </w:tcBorders>
            <w:noWrap/>
            <w:vAlign w:val="bottom"/>
            <w:hideMark/>
          </w:tcPr>
          <w:p w14:paraId="6CBF7FE3"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2.7%</w:t>
            </w:r>
          </w:p>
        </w:tc>
      </w:tr>
      <w:tr w:rsidR="003A1DC2" w:rsidRPr="00116D0B" w14:paraId="0A6045ED" w14:textId="77777777" w:rsidTr="003A1DC2">
        <w:trPr>
          <w:trHeight w:val="290"/>
        </w:trPr>
        <w:tc>
          <w:tcPr>
            <w:tcW w:w="3160" w:type="dxa"/>
            <w:tcBorders>
              <w:top w:val="nil"/>
              <w:left w:val="nil"/>
              <w:bottom w:val="nil"/>
              <w:right w:val="nil"/>
            </w:tcBorders>
            <w:vAlign w:val="bottom"/>
            <w:hideMark/>
          </w:tcPr>
          <w:p w14:paraId="7A2FDA05"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Social amenities</w:t>
            </w:r>
          </w:p>
        </w:tc>
        <w:tc>
          <w:tcPr>
            <w:tcW w:w="804" w:type="dxa"/>
            <w:tcBorders>
              <w:top w:val="nil"/>
              <w:left w:val="single" w:sz="4" w:space="0" w:color="93D07B"/>
              <w:bottom w:val="nil"/>
              <w:right w:val="single" w:sz="4" w:space="0" w:color="93D07B"/>
            </w:tcBorders>
            <w:noWrap/>
            <w:vAlign w:val="bottom"/>
            <w:hideMark/>
          </w:tcPr>
          <w:p w14:paraId="18CBEA9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20" w:type="dxa"/>
            <w:tcBorders>
              <w:top w:val="nil"/>
              <w:left w:val="nil"/>
              <w:bottom w:val="nil"/>
              <w:right w:val="nil"/>
            </w:tcBorders>
            <w:noWrap/>
            <w:vAlign w:val="bottom"/>
            <w:hideMark/>
          </w:tcPr>
          <w:p w14:paraId="61F3E84A"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2.5%</w:t>
            </w:r>
          </w:p>
        </w:tc>
        <w:tc>
          <w:tcPr>
            <w:tcW w:w="1020" w:type="dxa"/>
            <w:tcBorders>
              <w:top w:val="nil"/>
              <w:left w:val="single" w:sz="4" w:space="0" w:color="93D07B"/>
              <w:bottom w:val="nil"/>
              <w:right w:val="single" w:sz="4" w:space="0" w:color="93D07B"/>
            </w:tcBorders>
            <w:noWrap/>
            <w:vAlign w:val="bottom"/>
            <w:hideMark/>
          </w:tcPr>
          <w:p w14:paraId="6523509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nil"/>
              <w:bottom w:val="nil"/>
              <w:right w:val="nil"/>
            </w:tcBorders>
            <w:noWrap/>
            <w:vAlign w:val="bottom"/>
            <w:hideMark/>
          </w:tcPr>
          <w:p w14:paraId="16D8D9A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5.1%</w:t>
            </w:r>
          </w:p>
        </w:tc>
        <w:tc>
          <w:tcPr>
            <w:tcW w:w="804" w:type="dxa"/>
            <w:tcBorders>
              <w:top w:val="nil"/>
              <w:left w:val="single" w:sz="4" w:space="0" w:color="93D07B"/>
              <w:bottom w:val="nil"/>
              <w:right w:val="single" w:sz="4" w:space="0" w:color="93D07B"/>
            </w:tcBorders>
            <w:noWrap/>
            <w:vAlign w:val="bottom"/>
            <w:hideMark/>
          </w:tcPr>
          <w:p w14:paraId="18219E4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7.7%</w:t>
            </w:r>
          </w:p>
        </w:tc>
        <w:tc>
          <w:tcPr>
            <w:tcW w:w="940" w:type="dxa"/>
            <w:tcBorders>
              <w:top w:val="nil"/>
              <w:left w:val="nil"/>
              <w:bottom w:val="nil"/>
              <w:right w:val="nil"/>
            </w:tcBorders>
            <w:noWrap/>
            <w:vAlign w:val="bottom"/>
            <w:hideMark/>
          </w:tcPr>
          <w:p w14:paraId="5CC0CFE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6BF46B7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0.9%</w:t>
            </w:r>
          </w:p>
        </w:tc>
        <w:tc>
          <w:tcPr>
            <w:tcW w:w="804" w:type="dxa"/>
            <w:tcBorders>
              <w:top w:val="nil"/>
              <w:left w:val="nil"/>
              <w:bottom w:val="nil"/>
              <w:right w:val="nil"/>
            </w:tcBorders>
            <w:noWrap/>
            <w:vAlign w:val="bottom"/>
            <w:hideMark/>
          </w:tcPr>
          <w:p w14:paraId="1ACAB36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6D5253A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1.9%</w:t>
            </w:r>
          </w:p>
        </w:tc>
      </w:tr>
      <w:tr w:rsidR="003A1DC2" w:rsidRPr="00116D0B" w14:paraId="50CC486C" w14:textId="77777777" w:rsidTr="003A1DC2">
        <w:trPr>
          <w:trHeight w:val="290"/>
        </w:trPr>
        <w:tc>
          <w:tcPr>
            <w:tcW w:w="3160" w:type="dxa"/>
            <w:tcBorders>
              <w:top w:val="nil"/>
              <w:left w:val="nil"/>
              <w:bottom w:val="nil"/>
              <w:right w:val="nil"/>
            </w:tcBorders>
            <w:vAlign w:val="bottom"/>
            <w:hideMark/>
          </w:tcPr>
          <w:p w14:paraId="2A674C2C"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Volunteering opportunities</w:t>
            </w:r>
          </w:p>
        </w:tc>
        <w:tc>
          <w:tcPr>
            <w:tcW w:w="804" w:type="dxa"/>
            <w:tcBorders>
              <w:top w:val="nil"/>
              <w:left w:val="single" w:sz="4" w:space="0" w:color="93D07B"/>
              <w:bottom w:val="nil"/>
              <w:right w:val="single" w:sz="4" w:space="0" w:color="93D07B"/>
            </w:tcBorders>
            <w:noWrap/>
            <w:vAlign w:val="bottom"/>
            <w:hideMark/>
          </w:tcPr>
          <w:p w14:paraId="57E1FAD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2.1%</w:t>
            </w:r>
          </w:p>
        </w:tc>
        <w:tc>
          <w:tcPr>
            <w:tcW w:w="820" w:type="dxa"/>
            <w:tcBorders>
              <w:top w:val="nil"/>
              <w:left w:val="nil"/>
              <w:bottom w:val="nil"/>
              <w:right w:val="nil"/>
            </w:tcBorders>
            <w:noWrap/>
            <w:vAlign w:val="bottom"/>
            <w:hideMark/>
          </w:tcPr>
          <w:p w14:paraId="1361EA0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1020" w:type="dxa"/>
            <w:tcBorders>
              <w:top w:val="nil"/>
              <w:left w:val="single" w:sz="4" w:space="0" w:color="93D07B"/>
              <w:bottom w:val="nil"/>
              <w:right w:val="single" w:sz="4" w:space="0" w:color="93D07B"/>
            </w:tcBorders>
            <w:noWrap/>
            <w:vAlign w:val="bottom"/>
            <w:hideMark/>
          </w:tcPr>
          <w:p w14:paraId="2E5C883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2.0%</w:t>
            </w:r>
          </w:p>
        </w:tc>
        <w:tc>
          <w:tcPr>
            <w:tcW w:w="804" w:type="dxa"/>
            <w:tcBorders>
              <w:top w:val="nil"/>
              <w:left w:val="nil"/>
              <w:bottom w:val="nil"/>
              <w:right w:val="nil"/>
            </w:tcBorders>
            <w:noWrap/>
            <w:vAlign w:val="bottom"/>
            <w:hideMark/>
          </w:tcPr>
          <w:p w14:paraId="2EE2156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10.3%</w:t>
            </w:r>
          </w:p>
        </w:tc>
        <w:tc>
          <w:tcPr>
            <w:tcW w:w="804" w:type="dxa"/>
            <w:tcBorders>
              <w:top w:val="nil"/>
              <w:left w:val="single" w:sz="4" w:space="0" w:color="93D07B"/>
              <w:bottom w:val="nil"/>
              <w:right w:val="single" w:sz="4" w:space="0" w:color="93D07B"/>
            </w:tcBorders>
            <w:noWrap/>
            <w:vAlign w:val="bottom"/>
            <w:hideMark/>
          </w:tcPr>
          <w:p w14:paraId="325CA49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nil"/>
              <w:right w:val="nil"/>
            </w:tcBorders>
            <w:noWrap/>
            <w:vAlign w:val="bottom"/>
            <w:hideMark/>
          </w:tcPr>
          <w:p w14:paraId="2723960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1B3EEAC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2.8%</w:t>
            </w:r>
          </w:p>
        </w:tc>
        <w:tc>
          <w:tcPr>
            <w:tcW w:w="804" w:type="dxa"/>
            <w:tcBorders>
              <w:top w:val="nil"/>
              <w:left w:val="nil"/>
              <w:bottom w:val="nil"/>
              <w:right w:val="nil"/>
            </w:tcBorders>
            <w:noWrap/>
            <w:vAlign w:val="bottom"/>
            <w:hideMark/>
          </w:tcPr>
          <w:p w14:paraId="57C1872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366B634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1.7%</w:t>
            </w:r>
          </w:p>
        </w:tc>
      </w:tr>
      <w:tr w:rsidR="003A1DC2" w:rsidRPr="00116D0B" w14:paraId="3064ABA7" w14:textId="77777777" w:rsidTr="003A1DC2">
        <w:trPr>
          <w:trHeight w:val="290"/>
        </w:trPr>
        <w:tc>
          <w:tcPr>
            <w:tcW w:w="3160" w:type="dxa"/>
            <w:tcBorders>
              <w:top w:val="nil"/>
              <w:left w:val="nil"/>
              <w:bottom w:val="nil"/>
              <w:right w:val="nil"/>
            </w:tcBorders>
            <w:vAlign w:val="bottom"/>
            <w:hideMark/>
          </w:tcPr>
          <w:p w14:paraId="480348D3"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Security</w:t>
            </w:r>
          </w:p>
        </w:tc>
        <w:tc>
          <w:tcPr>
            <w:tcW w:w="804" w:type="dxa"/>
            <w:tcBorders>
              <w:top w:val="nil"/>
              <w:left w:val="single" w:sz="4" w:space="0" w:color="93D07B"/>
              <w:bottom w:val="nil"/>
              <w:right w:val="single" w:sz="4" w:space="0" w:color="93D07B"/>
            </w:tcBorders>
            <w:noWrap/>
            <w:vAlign w:val="bottom"/>
            <w:hideMark/>
          </w:tcPr>
          <w:p w14:paraId="410DAE9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4.2%</w:t>
            </w:r>
          </w:p>
        </w:tc>
        <w:tc>
          <w:tcPr>
            <w:tcW w:w="820" w:type="dxa"/>
            <w:tcBorders>
              <w:top w:val="nil"/>
              <w:left w:val="nil"/>
              <w:bottom w:val="nil"/>
              <w:right w:val="nil"/>
            </w:tcBorders>
            <w:noWrap/>
            <w:vAlign w:val="bottom"/>
            <w:hideMark/>
          </w:tcPr>
          <w:p w14:paraId="44EF3B22"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1.3%</w:t>
            </w:r>
          </w:p>
        </w:tc>
        <w:tc>
          <w:tcPr>
            <w:tcW w:w="1020" w:type="dxa"/>
            <w:tcBorders>
              <w:top w:val="nil"/>
              <w:left w:val="single" w:sz="4" w:space="0" w:color="93D07B"/>
              <w:bottom w:val="nil"/>
              <w:right w:val="single" w:sz="4" w:space="0" w:color="93D07B"/>
            </w:tcBorders>
            <w:noWrap/>
            <w:vAlign w:val="bottom"/>
            <w:hideMark/>
          </w:tcPr>
          <w:p w14:paraId="28BC594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nil"/>
              <w:bottom w:val="nil"/>
              <w:right w:val="nil"/>
            </w:tcBorders>
            <w:noWrap/>
            <w:vAlign w:val="bottom"/>
            <w:hideMark/>
          </w:tcPr>
          <w:p w14:paraId="5CB8B42E"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34E530F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nil"/>
              <w:right w:val="nil"/>
            </w:tcBorders>
            <w:noWrap/>
            <w:vAlign w:val="bottom"/>
            <w:hideMark/>
          </w:tcPr>
          <w:p w14:paraId="5793341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4.3%</w:t>
            </w:r>
          </w:p>
        </w:tc>
        <w:tc>
          <w:tcPr>
            <w:tcW w:w="804" w:type="dxa"/>
            <w:tcBorders>
              <w:top w:val="nil"/>
              <w:left w:val="single" w:sz="4" w:space="0" w:color="93D07B"/>
              <w:bottom w:val="nil"/>
              <w:right w:val="single" w:sz="4" w:space="0" w:color="93D07B"/>
            </w:tcBorders>
            <w:noWrap/>
            <w:vAlign w:val="bottom"/>
            <w:hideMark/>
          </w:tcPr>
          <w:p w14:paraId="45413197"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2.8%</w:t>
            </w:r>
          </w:p>
        </w:tc>
        <w:tc>
          <w:tcPr>
            <w:tcW w:w="804" w:type="dxa"/>
            <w:tcBorders>
              <w:top w:val="nil"/>
              <w:left w:val="nil"/>
              <w:bottom w:val="nil"/>
              <w:right w:val="nil"/>
            </w:tcBorders>
            <w:noWrap/>
            <w:vAlign w:val="bottom"/>
            <w:hideMark/>
          </w:tcPr>
          <w:p w14:paraId="7118374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0.9%</w:t>
            </w:r>
          </w:p>
        </w:tc>
        <w:tc>
          <w:tcPr>
            <w:tcW w:w="804" w:type="dxa"/>
            <w:tcBorders>
              <w:top w:val="nil"/>
              <w:left w:val="single" w:sz="4" w:space="0" w:color="93D07B"/>
              <w:bottom w:val="nil"/>
              <w:right w:val="single" w:sz="4" w:space="0" w:color="93D07B"/>
            </w:tcBorders>
            <w:noWrap/>
            <w:vAlign w:val="bottom"/>
            <w:hideMark/>
          </w:tcPr>
          <w:p w14:paraId="490DC5A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1.7%</w:t>
            </w:r>
          </w:p>
        </w:tc>
      </w:tr>
      <w:tr w:rsidR="003A1DC2" w:rsidRPr="00116D0B" w14:paraId="519EA93B" w14:textId="77777777" w:rsidTr="003A1DC2">
        <w:trPr>
          <w:trHeight w:val="290"/>
        </w:trPr>
        <w:tc>
          <w:tcPr>
            <w:tcW w:w="3160" w:type="dxa"/>
            <w:tcBorders>
              <w:top w:val="nil"/>
              <w:left w:val="nil"/>
              <w:bottom w:val="nil"/>
              <w:right w:val="nil"/>
            </w:tcBorders>
            <w:vAlign w:val="bottom"/>
            <w:hideMark/>
          </w:tcPr>
          <w:p w14:paraId="2119F58B"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Financial support</w:t>
            </w:r>
          </w:p>
        </w:tc>
        <w:tc>
          <w:tcPr>
            <w:tcW w:w="804" w:type="dxa"/>
            <w:tcBorders>
              <w:top w:val="nil"/>
              <w:left w:val="single" w:sz="4" w:space="0" w:color="93D07B"/>
              <w:bottom w:val="nil"/>
              <w:right w:val="single" w:sz="4" w:space="0" w:color="93D07B"/>
            </w:tcBorders>
            <w:noWrap/>
            <w:vAlign w:val="bottom"/>
            <w:hideMark/>
          </w:tcPr>
          <w:p w14:paraId="7BEDA118"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20" w:type="dxa"/>
            <w:tcBorders>
              <w:top w:val="nil"/>
              <w:left w:val="nil"/>
              <w:bottom w:val="nil"/>
              <w:right w:val="nil"/>
            </w:tcBorders>
            <w:noWrap/>
            <w:vAlign w:val="bottom"/>
            <w:hideMark/>
          </w:tcPr>
          <w:p w14:paraId="664A207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1020" w:type="dxa"/>
            <w:tcBorders>
              <w:top w:val="nil"/>
              <w:left w:val="single" w:sz="4" w:space="0" w:color="93D07B"/>
              <w:bottom w:val="nil"/>
              <w:right w:val="single" w:sz="4" w:space="0" w:color="93D07B"/>
            </w:tcBorders>
            <w:noWrap/>
            <w:vAlign w:val="bottom"/>
            <w:hideMark/>
          </w:tcPr>
          <w:p w14:paraId="44CD1E2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6.0%</w:t>
            </w:r>
          </w:p>
        </w:tc>
        <w:tc>
          <w:tcPr>
            <w:tcW w:w="804" w:type="dxa"/>
            <w:tcBorders>
              <w:top w:val="nil"/>
              <w:left w:val="nil"/>
              <w:bottom w:val="nil"/>
              <w:right w:val="nil"/>
            </w:tcBorders>
            <w:noWrap/>
            <w:vAlign w:val="bottom"/>
            <w:hideMark/>
          </w:tcPr>
          <w:p w14:paraId="0C0B51C2"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294C35C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nil"/>
              <w:right w:val="nil"/>
            </w:tcBorders>
            <w:noWrap/>
            <w:vAlign w:val="bottom"/>
            <w:hideMark/>
          </w:tcPr>
          <w:p w14:paraId="6BB8C76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4.3%</w:t>
            </w:r>
          </w:p>
        </w:tc>
        <w:tc>
          <w:tcPr>
            <w:tcW w:w="804" w:type="dxa"/>
            <w:tcBorders>
              <w:top w:val="nil"/>
              <w:left w:val="single" w:sz="4" w:space="0" w:color="93D07B"/>
              <w:bottom w:val="nil"/>
              <w:right w:val="single" w:sz="4" w:space="0" w:color="93D07B"/>
            </w:tcBorders>
            <w:noWrap/>
            <w:vAlign w:val="bottom"/>
            <w:hideMark/>
          </w:tcPr>
          <w:p w14:paraId="2AC66A4C"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2.8%</w:t>
            </w:r>
          </w:p>
        </w:tc>
        <w:tc>
          <w:tcPr>
            <w:tcW w:w="804" w:type="dxa"/>
            <w:tcBorders>
              <w:top w:val="nil"/>
              <w:left w:val="nil"/>
              <w:bottom w:val="nil"/>
              <w:right w:val="nil"/>
            </w:tcBorders>
            <w:noWrap/>
            <w:vAlign w:val="bottom"/>
            <w:hideMark/>
          </w:tcPr>
          <w:p w14:paraId="18E8C226"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346CEBCB"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1.2%</w:t>
            </w:r>
          </w:p>
        </w:tc>
      </w:tr>
      <w:tr w:rsidR="003A1DC2" w:rsidRPr="00116D0B" w14:paraId="760EA1C9" w14:textId="77777777" w:rsidTr="003A1DC2">
        <w:trPr>
          <w:trHeight w:val="300"/>
        </w:trPr>
        <w:tc>
          <w:tcPr>
            <w:tcW w:w="3160" w:type="dxa"/>
            <w:tcBorders>
              <w:top w:val="nil"/>
              <w:left w:val="nil"/>
              <w:bottom w:val="single" w:sz="8" w:space="0" w:color="549E39"/>
              <w:right w:val="nil"/>
            </w:tcBorders>
            <w:noWrap/>
            <w:vAlign w:val="bottom"/>
            <w:hideMark/>
          </w:tcPr>
          <w:p w14:paraId="4ECF1825" w14:textId="77777777" w:rsidR="003A1DC2" w:rsidRPr="00116D0B" w:rsidRDefault="003A1DC2" w:rsidP="003A1DC2">
            <w:pPr>
              <w:widowControl/>
              <w:autoSpaceDE/>
              <w:autoSpaceDN/>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Equal opportunities as males</w:t>
            </w:r>
          </w:p>
        </w:tc>
        <w:tc>
          <w:tcPr>
            <w:tcW w:w="804" w:type="dxa"/>
            <w:tcBorders>
              <w:top w:val="nil"/>
              <w:left w:val="single" w:sz="4" w:space="0" w:color="93D07B"/>
              <w:bottom w:val="single" w:sz="8" w:space="0" w:color="549E39"/>
              <w:right w:val="single" w:sz="4" w:space="0" w:color="93D07B"/>
            </w:tcBorders>
            <w:noWrap/>
            <w:vAlign w:val="bottom"/>
            <w:hideMark/>
          </w:tcPr>
          <w:p w14:paraId="79DE29D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20" w:type="dxa"/>
            <w:tcBorders>
              <w:top w:val="nil"/>
              <w:left w:val="nil"/>
              <w:bottom w:val="single" w:sz="8" w:space="0" w:color="549E39"/>
              <w:right w:val="nil"/>
            </w:tcBorders>
            <w:noWrap/>
            <w:vAlign w:val="bottom"/>
            <w:hideMark/>
          </w:tcPr>
          <w:p w14:paraId="5AF90F1A"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1.3%</w:t>
            </w:r>
          </w:p>
        </w:tc>
        <w:tc>
          <w:tcPr>
            <w:tcW w:w="1020" w:type="dxa"/>
            <w:tcBorders>
              <w:top w:val="nil"/>
              <w:left w:val="single" w:sz="4" w:space="0" w:color="93D07B"/>
              <w:bottom w:val="single" w:sz="8" w:space="0" w:color="549E39"/>
              <w:right w:val="single" w:sz="4" w:space="0" w:color="93D07B"/>
            </w:tcBorders>
            <w:noWrap/>
            <w:vAlign w:val="bottom"/>
            <w:hideMark/>
          </w:tcPr>
          <w:p w14:paraId="1FC53030"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nil"/>
              <w:bottom w:val="single" w:sz="8" w:space="0" w:color="549E39"/>
              <w:right w:val="nil"/>
            </w:tcBorders>
            <w:noWrap/>
            <w:vAlign w:val="bottom"/>
            <w:hideMark/>
          </w:tcPr>
          <w:p w14:paraId="6AD66FCF"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single" w:sz="8" w:space="0" w:color="549E39"/>
              <w:right w:val="single" w:sz="4" w:space="0" w:color="93D07B"/>
            </w:tcBorders>
            <w:noWrap/>
            <w:vAlign w:val="bottom"/>
            <w:hideMark/>
          </w:tcPr>
          <w:p w14:paraId="3F8C5841"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940" w:type="dxa"/>
            <w:tcBorders>
              <w:top w:val="nil"/>
              <w:left w:val="nil"/>
              <w:bottom w:val="single" w:sz="8" w:space="0" w:color="549E39"/>
              <w:right w:val="nil"/>
            </w:tcBorders>
            <w:noWrap/>
            <w:vAlign w:val="bottom"/>
            <w:hideMark/>
          </w:tcPr>
          <w:p w14:paraId="0622796D"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single" w:sz="8" w:space="0" w:color="549E39"/>
              <w:right w:val="single" w:sz="4" w:space="0" w:color="93D07B"/>
            </w:tcBorders>
            <w:noWrap/>
            <w:vAlign w:val="bottom"/>
            <w:hideMark/>
          </w:tcPr>
          <w:p w14:paraId="73990CD5"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0.9%</w:t>
            </w:r>
          </w:p>
        </w:tc>
        <w:tc>
          <w:tcPr>
            <w:tcW w:w="804" w:type="dxa"/>
            <w:tcBorders>
              <w:top w:val="nil"/>
              <w:left w:val="nil"/>
              <w:bottom w:val="single" w:sz="8" w:space="0" w:color="549E39"/>
              <w:right w:val="nil"/>
            </w:tcBorders>
            <w:noWrap/>
            <w:vAlign w:val="bottom"/>
            <w:hideMark/>
          </w:tcPr>
          <w:p w14:paraId="518E3719"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0.0%</w:t>
            </w:r>
          </w:p>
        </w:tc>
        <w:tc>
          <w:tcPr>
            <w:tcW w:w="804" w:type="dxa"/>
            <w:tcBorders>
              <w:top w:val="nil"/>
              <w:left w:val="single" w:sz="4" w:space="0" w:color="93D07B"/>
              <w:bottom w:val="single" w:sz="8" w:space="0" w:color="549E39"/>
              <w:right w:val="single" w:sz="4" w:space="0" w:color="93D07B"/>
            </w:tcBorders>
            <w:noWrap/>
            <w:vAlign w:val="bottom"/>
            <w:hideMark/>
          </w:tcPr>
          <w:p w14:paraId="57E48D54" w14:textId="77777777" w:rsidR="003A1DC2" w:rsidRPr="00116D0B" w:rsidRDefault="003A1DC2" w:rsidP="003A1DC2">
            <w:pPr>
              <w:widowControl/>
              <w:autoSpaceDE/>
              <w:autoSpaceDN/>
              <w:jc w:val="center"/>
              <w:rPr>
                <w:rFonts w:ascii="Garamond" w:eastAsia="Times New Roman" w:hAnsi="Garamond" w:cs="Times New Roman"/>
                <w:color w:val="000000"/>
                <w:sz w:val="24"/>
                <w:szCs w:val="24"/>
              </w:rPr>
            </w:pPr>
            <w:r w:rsidRPr="00116D0B">
              <w:rPr>
                <w:rFonts w:ascii="Garamond" w:eastAsia="Times New Roman" w:hAnsi="Garamond" w:cs="Times New Roman"/>
                <w:color w:val="000000"/>
                <w:sz w:val="24"/>
                <w:szCs w:val="24"/>
              </w:rPr>
              <w:t>0.3%</w:t>
            </w:r>
          </w:p>
        </w:tc>
      </w:tr>
    </w:tbl>
    <w:p w14:paraId="02B646DD" w14:textId="7672798F" w:rsidR="003A1DC2" w:rsidRPr="00116D0B" w:rsidRDefault="003A1DC2" w:rsidP="003A1DC2">
      <w:pPr>
        <w:pStyle w:val="TOC3"/>
      </w:pPr>
      <w:r w:rsidRPr="00116D0B">
        <w:t>4.3.2</w:t>
      </w:r>
      <w:r w:rsidRPr="00116D0B">
        <w:tab/>
        <w:t>Evaluation Social Cohesion Dynamics and Inclusive Planning</w:t>
      </w:r>
    </w:p>
    <w:p w14:paraId="2223A08C" w14:textId="2332C6FC"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The evaluation also sought to examine social cohesion dynamics and inclusive planning, including trust in government and community leaders, social inclusion, cooperation, tolerance, and perceptions about and behaviors toward other groups.</w:t>
      </w:r>
    </w:p>
    <w:p w14:paraId="3BD12DA7" w14:textId="589E5761" w:rsidR="00362128" w:rsidRPr="00116D0B" w:rsidRDefault="003A1DC2" w:rsidP="00362128">
      <w:pPr>
        <w:spacing w:before="240" w:after="240" w:line="276" w:lineRule="auto"/>
        <w:jc w:val="both"/>
        <w:rPr>
          <w:rFonts w:ascii="Garamond" w:hAnsi="Garamond"/>
          <w:sz w:val="24"/>
          <w:szCs w:val="24"/>
        </w:rPr>
      </w:pPr>
      <w:r w:rsidRPr="00116D0B">
        <w:rPr>
          <w:rFonts w:ascii="Garamond" w:hAnsi="Garamond"/>
          <w:sz w:val="24"/>
          <w:szCs w:val="24"/>
        </w:rPr>
        <w:t xml:space="preserve">The findings from the endline survey regarding respondents' views about finding it difficult to interact with any individuals or groups within the community indicate that overall, </w:t>
      </w:r>
      <w:r w:rsidR="002A426B">
        <w:rPr>
          <w:rFonts w:ascii="Garamond" w:hAnsi="Garamond"/>
          <w:sz w:val="24"/>
          <w:szCs w:val="24"/>
        </w:rPr>
        <w:t>t</w:t>
      </w:r>
      <w:r w:rsidR="002A426B" w:rsidRPr="002A426B">
        <w:rPr>
          <w:rFonts w:ascii="Garamond" w:hAnsi="Garamond"/>
          <w:sz w:val="24"/>
          <w:szCs w:val="24"/>
        </w:rPr>
        <w:t>he majority of respondents (89.9%) indicated that they did not find any individuals or groups difficult to interact with in their comm</w:t>
      </w:r>
      <w:r w:rsidR="002A426B">
        <w:rPr>
          <w:rFonts w:ascii="Garamond" w:hAnsi="Garamond"/>
          <w:sz w:val="24"/>
          <w:szCs w:val="24"/>
        </w:rPr>
        <w:t>unity following the CDP session</w:t>
      </w:r>
      <w:r w:rsidRPr="00116D0B">
        <w:rPr>
          <w:rFonts w:ascii="Garamond" w:hAnsi="Garamond"/>
          <w:sz w:val="24"/>
          <w:szCs w:val="24"/>
        </w:rPr>
        <w:t xml:space="preserve">, while 10.1% of respondents </w:t>
      </w:r>
      <w:r w:rsidR="002A426B">
        <w:rPr>
          <w:rFonts w:ascii="Garamond" w:hAnsi="Garamond"/>
          <w:sz w:val="24"/>
          <w:szCs w:val="24"/>
        </w:rPr>
        <w:t xml:space="preserve">reported having challenge of interacting with </w:t>
      </w:r>
      <w:r w:rsidR="002A426B" w:rsidRPr="002A426B">
        <w:rPr>
          <w:rFonts w:ascii="Garamond" w:hAnsi="Garamond"/>
          <w:sz w:val="24"/>
          <w:szCs w:val="24"/>
        </w:rPr>
        <w:t>individuals or groups within the community</w:t>
      </w:r>
      <w:r w:rsidRPr="00116D0B">
        <w:rPr>
          <w:rFonts w:ascii="Garamond" w:hAnsi="Garamond"/>
          <w:sz w:val="24"/>
          <w:szCs w:val="24"/>
        </w:rPr>
        <w:t>. This suggests that the majority of community members feel a sense of inclusiveness and ease of interaction within their communities’ post-CDP session. However, there remains a minority who still face challenges in this regard, highlighting an area for potential improvement in community cohesion and interaction.</w:t>
      </w:r>
    </w:p>
    <w:p w14:paraId="58C8EE9C" w14:textId="0304EC6A" w:rsidR="00362128" w:rsidRDefault="00362128" w:rsidP="00362128">
      <w:pPr>
        <w:spacing w:before="240" w:after="240" w:line="276" w:lineRule="auto"/>
        <w:jc w:val="both"/>
        <w:rPr>
          <w:rFonts w:ascii="Garamond" w:hAnsi="Garamond"/>
          <w:sz w:val="24"/>
          <w:szCs w:val="24"/>
        </w:rPr>
      </w:pPr>
    </w:p>
    <w:p w14:paraId="6EEE4E4F" w14:textId="77777777" w:rsidR="00842D36" w:rsidRPr="00116D0B" w:rsidRDefault="00842D36" w:rsidP="00362128">
      <w:pPr>
        <w:spacing w:before="240" w:after="240" w:line="276" w:lineRule="auto"/>
        <w:jc w:val="both"/>
        <w:rPr>
          <w:rFonts w:ascii="Garamond" w:hAnsi="Garamond"/>
          <w:sz w:val="24"/>
          <w:szCs w:val="24"/>
        </w:rPr>
      </w:pPr>
    </w:p>
    <w:p w14:paraId="2B807C04" w14:textId="77777777" w:rsidR="00362128" w:rsidRPr="00116D0B" w:rsidRDefault="00362128" w:rsidP="00362128">
      <w:pPr>
        <w:spacing w:before="240" w:after="240" w:line="276" w:lineRule="auto"/>
        <w:jc w:val="both"/>
        <w:rPr>
          <w:rFonts w:ascii="Garamond" w:hAnsi="Garamond"/>
          <w:sz w:val="24"/>
          <w:szCs w:val="24"/>
        </w:rPr>
      </w:pPr>
    </w:p>
    <w:p w14:paraId="5BDE1C4E" w14:textId="29BDAC6D" w:rsidR="003A1DC2" w:rsidRPr="00116D0B" w:rsidRDefault="00362128" w:rsidP="00C27173">
      <w:pPr>
        <w:pStyle w:val="Caption"/>
      </w:pPr>
      <w:bookmarkStart w:id="88" w:name="_Toc166704051"/>
      <w:r w:rsidRPr="00116D0B">
        <w:lastRenderedPageBreak/>
        <w:t xml:space="preserve">Table </w:t>
      </w:r>
      <w:fldSimple w:instr=" SEQ Table \* ARABIC ">
        <w:r w:rsidR="00116D0B" w:rsidRPr="00116D0B">
          <w:rPr>
            <w:noProof/>
          </w:rPr>
          <w:t>28</w:t>
        </w:r>
      </w:fldSimple>
      <w:r w:rsidRPr="00116D0B">
        <w:t xml:space="preserve">: Percentage of community members who find certain individuals or group challenging to interact with in the </w:t>
      </w:r>
      <w:r w:rsidR="003A1DC2" w:rsidRPr="00116D0B">
        <w:t>community</w:t>
      </w:r>
      <w:bookmarkEnd w:id="88"/>
    </w:p>
    <w:tbl>
      <w:tblPr>
        <w:tblW w:w="5000" w:type="pct"/>
        <w:tblLook w:val="04A0" w:firstRow="1" w:lastRow="0" w:firstColumn="1" w:lastColumn="0" w:noHBand="0" w:noVBand="1"/>
      </w:tblPr>
      <w:tblGrid>
        <w:gridCol w:w="2097"/>
        <w:gridCol w:w="842"/>
        <w:gridCol w:w="842"/>
        <w:gridCol w:w="842"/>
        <w:gridCol w:w="239"/>
        <w:gridCol w:w="603"/>
        <w:gridCol w:w="842"/>
        <w:gridCol w:w="121"/>
        <w:gridCol w:w="838"/>
        <w:gridCol w:w="728"/>
        <w:gridCol w:w="114"/>
        <w:gridCol w:w="842"/>
        <w:gridCol w:w="840"/>
      </w:tblGrid>
      <w:tr w:rsidR="003A1DC2" w:rsidRPr="00116D0B" w14:paraId="4D24D9B7" w14:textId="77777777" w:rsidTr="003A1DC2">
        <w:trPr>
          <w:trHeight w:val="1219"/>
        </w:trPr>
        <w:tc>
          <w:tcPr>
            <w:tcW w:w="1071" w:type="pct"/>
            <w:tcBorders>
              <w:top w:val="single" w:sz="4" w:space="0" w:color="auto"/>
              <w:left w:val="single" w:sz="4" w:space="0" w:color="auto"/>
              <w:bottom w:val="single" w:sz="4" w:space="0" w:color="auto"/>
              <w:right w:val="single" w:sz="4" w:space="0" w:color="auto"/>
            </w:tcBorders>
            <w:shd w:val="clear" w:color="549E39" w:fill="549E39"/>
            <w:vAlign w:val="bottom"/>
            <w:hideMark/>
          </w:tcPr>
          <w:p w14:paraId="330AD84E" w14:textId="77777777" w:rsidR="003A1DC2" w:rsidRPr="00116D0B" w:rsidRDefault="003A1DC2" w:rsidP="00842D36">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Are there certain individuals or groups you find challenging to interact with in your community since the CDP session?</w:t>
            </w:r>
          </w:p>
        </w:tc>
        <w:tc>
          <w:tcPr>
            <w:tcW w:w="430"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4218F570"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430"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528CA00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430"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77E329CA"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430"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60C72C0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430" w:type="pct"/>
            <w:tcBorders>
              <w:top w:val="single" w:sz="4" w:space="0" w:color="auto"/>
              <w:left w:val="single" w:sz="4" w:space="0" w:color="auto"/>
              <w:bottom w:val="single" w:sz="4" w:space="0" w:color="auto"/>
              <w:right w:val="single" w:sz="4" w:space="0" w:color="auto"/>
            </w:tcBorders>
            <w:shd w:val="clear" w:color="549E39" w:fill="549E39"/>
            <w:noWrap/>
            <w:textDirection w:val="btLr"/>
            <w:vAlign w:val="bottom"/>
            <w:hideMark/>
          </w:tcPr>
          <w:p w14:paraId="53F02BD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490"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3FCF5650" w14:textId="77777777" w:rsidR="003A1DC2" w:rsidRPr="00116D0B" w:rsidRDefault="003A1DC2" w:rsidP="00842D36">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430" w:type="pct"/>
            <w:gridSpan w:val="2"/>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102F082B"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430" w:type="pct"/>
            <w:tcBorders>
              <w:top w:val="single" w:sz="4" w:space="0" w:color="auto"/>
              <w:left w:val="single" w:sz="4" w:space="0" w:color="auto"/>
              <w:bottom w:val="single" w:sz="4" w:space="0" w:color="auto"/>
              <w:right w:val="single" w:sz="4" w:space="0" w:color="auto"/>
            </w:tcBorders>
            <w:shd w:val="clear" w:color="549E39" w:fill="549E39"/>
            <w:textDirection w:val="btLr"/>
            <w:vAlign w:val="bottom"/>
            <w:hideMark/>
          </w:tcPr>
          <w:p w14:paraId="7759099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429" w:type="pct"/>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2DD12FD5"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6ADC7FD4" w14:textId="77777777" w:rsidTr="003A1DC2">
        <w:trPr>
          <w:trHeight w:val="300"/>
        </w:trPr>
        <w:tc>
          <w:tcPr>
            <w:tcW w:w="1071" w:type="pct"/>
            <w:tcBorders>
              <w:top w:val="single" w:sz="4" w:space="0" w:color="auto"/>
              <w:left w:val="single" w:sz="4" w:space="0" w:color="auto"/>
              <w:bottom w:val="single" w:sz="4" w:space="0" w:color="auto"/>
              <w:right w:val="single" w:sz="4" w:space="0" w:color="auto"/>
            </w:tcBorders>
            <w:noWrap/>
            <w:vAlign w:val="bottom"/>
            <w:hideMark/>
          </w:tcPr>
          <w:p w14:paraId="19C12B6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22ABEEA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97.7%</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38EF78C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87.8%</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55F82FC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98.2%</w:t>
            </w:r>
          </w:p>
        </w:tc>
        <w:tc>
          <w:tcPr>
            <w:tcW w:w="430" w:type="pct"/>
            <w:gridSpan w:val="2"/>
            <w:tcBorders>
              <w:top w:val="single" w:sz="4" w:space="0" w:color="auto"/>
              <w:left w:val="single" w:sz="4" w:space="0" w:color="auto"/>
              <w:bottom w:val="single" w:sz="4" w:space="0" w:color="auto"/>
              <w:right w:val="single" w:sz="4" w:space="0" w:color="auto"/>
            </w:tcBorders>
            <w:noWrap/>
            <w:vAlign w:val="bottom"/>
            <w:hideMark/>
          </w:tcPr>
          <w:p w14:paraId="2D4E7AF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95.3%</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36D0A8C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81.8%</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7DE8B47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100.0%</w:t>
            </w:r>
          </w:p>
        </w:tc>
        <w:tc>
          <w:tcPr>
            <w:tcW w:w="430" w:type="pct"/>
            <w:gridSpan w:val="2"/>
            <w:tcBorders>
              <w:top w:val="single" w:sz="4" w:space="0" w:color="auto"/>
              <w:left w:val="single" w:sz="4" w:space="0" w:color="auto"/>
              <w:bottom w:val="single" w:sz="4" w:space="0" w:color="auto"/>
              <w:right w:val="single" w:sz="4" w:space="0" w:color="auto"/>
            </w:tcBorders>
            <w:noWrap/>
            <w:vAlign w:val="bottom"/>
            <w:hideMark/>
          </w:tcPr>
          <w:p w14:paraId="635FF39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82.2%</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7311219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84.4%</w:t>
            </w:r>
          </w:p>
        </w:tc>
        <w:tc>
          <w:tcPr>
            <w:tcW w:w="429" w:type="pct"/>
            <w:tcBorders>
              <w:top w:val="single" w:sz="4" w:space="0" w:color="auto"/>
              <w:left w:val="single" w:sz="4" w:space="0" w:color="auto"/>
              <w:bottom w:val="single" w:sz="4" w:space="0" w:color="auto"/>
              <w:right w:val="single" w:sz="4" w:space="0" w:color="auto"/>
            </w:tcBorders>
            <w:noWrap/>
            <w:vAlign w:val="bottom"/>
            <w:hideMark/>
          </w:tcPr>
          <w:p w14:paraId="7342F5CC"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89.9%</w:t>
            </w:r>
          </w:p>
        </w:tc>
      </w:tr>
      <w:tr w:rsidR="003A1DC2" w:rsidRPr="00116D0B" w14:paraId="49D25D0F" w14:textId="77777777" w:rsidTr="003A1DC2">
        <w:trPr>
          <w:trHeight w:val="315"/>
        </w:trPr>
        <w:tc>
          <w:tcPr>
            <w:tcW w:w="1071" w:type="pct"/>
            <w:tcBorders>
              <w:top w:val="single" w:sz="4" w:space="0" w:color="auto"/>
              <w:left w:val="single" w:sz="4" w:space="0" w:color="auto"/>
              <w:bottom w:val="single" w:sz="4" w:space="0" w:color="auto"/>
              <w:right w:val="single" w:sz="4" w:space="0" w:color="auto"/>
            </w:tcBorders>
            <w:noWrap/>
            <w:vAlign w:val="bottom"/>
            <w:hideMark/>
          </w:tcPr>
          <w:p w14:paraId="2820D77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0EF59B10"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7F4A7133"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12.2%</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65E5C12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w:t>
            </w:r>
          </w:p>
        </w:tc>
        <w:tc>
          <w:tcPr>
            <w:tcW w:w="430" w:type="pct"/>
            <w:gridSpan w:val="2"/>
            <w:tcBorders>
              <w:top w:val="single" w:sz="4" w:space="0" w:color="auto"/>
              <w:left w:val="single" w:sz="4" w:space="0" w:color="auto"/>
              <w:bottom w:val="single" w:sz="4" w:space="0" w:color="auto"/>
              <w:right w:val="single" w:sz="4" w:space="0" w:color="auto"/>
            </w:tcBorders>
            <w:noWrap/>
            <w:vAlign w:val="bottom"/>
            <w:hideMark/>
          </w:tcPr>
          <w:p w14:paraId="3A304A0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69953D0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18.2%</w:t>
            </w:r>
          </w:p>
        </w:tc>
        <w:tc>
          <w:tcPr>
            <w:tcW w:w="490" w:type="pct"/>
            <w:gridSpan w:val="2"/>
            <w:tcBorders>
              <w:top w:val="single" w:sz="4" w:space="0" w:color="auto"/>
              <w:left w:val="single" w:sz="4" w:space="0" w:color="auto"/>
              <w:bottom w:val="single" w:sz="4" w:space="0" w:color="auto"/>
              <w:right w:val="single" w:sz="4" w:space="0" w:color="auto"/>
            </w:tcBorders>
            <w:noWrap/>
            <w:vAlign w:val="bottom"/>
            <w:hideMark/>
          </w:tcPr>
          <w:p w14:paraId="1D53BFEA"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430" w:type="pct"/>
            <w:gridSpan w:val="2"/>
            <w:tcBorders>
              <w:top w:val="single" w:sz="4" w:space="0" w:color="auto"/>
              <w:left w:val="single" w:sz="4" w:space="0" w:color="auto"/>
              <w:bottom w:val="single" w:sz="4" w:space="0" w:color="auto"/>
              <w:right w:val="single" w:sz="4" w:space="0" w:color="auto"/>
            </w:tcBorders>
            <w:noWrap/>
            <w:vAlign w:val="bottom"/>
            <w:hideMark/>
          </w:tcPr>
          <w:p w14:paraId="30F64395"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17.8%</w:t>
            </w: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728B8138"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15.6%</w:t>
            </w:r>
          </w:p>
        </w:tc>
        <w:tc>
          <w:tcPr>
            <w:tcW w:w="429" w:type="pct"/>
            <w:tcBorders>
              <w:top w:val="single" w:sz="4" w:space="0" w:color="auto"/>
              <w:left w:val="single" w:sz="4" w:space="0" w:color="auto"/>
              <w:bottom w:val="single" w:sz="4" w:space="0" w:color="auto"/>
              <w:right w:val="single" w:sz="4" w:space="0" w:color="auto"/>
            </w:tcBorders>
            <w:noWrap/>
            <w:vAlign w:val="bottom"/>
            <w:hideMark/>
          </w:tcPr>
          <w:p w14:paraId="6CE9363B"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10.1%</w:t>
            </w:r>
          </w:p>
        </w:tc>
      </w:tr>
      <w:tr w:rsidR="003A1DC2" w:rsidRPr="00116D0B" w14:paraId="5EFBAEF7" w14:textId="77777777" w:rsidTr="00F51140">
        <w:trPr>
          <w:trHeight w:val="782"/>
        </w:trPr>
        <w:tc>
          <w:tcPr>
            <w:tcW w:w="2483" w:type="pct"/>
            <w:gridSpan w:val="5"/>
            <w:tcBorders>
              <w:top w:val="single" w:sz="4" w:space="0" w:color="auto"/>
              <w:left w:val="single" w:sz="4" w:space="0" w:color="auto"/>
              <w:bottom w:val="single" w:sz="4" w:space="0" w:color="auto"/>
              <w:right w:val="single" w:sz="4" w:space="0" w:color="auto"/>
            </w:tcBorders>
            <w:shd w:val="clear" w:color="549E39" w:fill="549E39"/>
            <w:vAlign w:val="bottom"/>
            <w:hideMark/>
          </w:tcPr>
          <w:p w14:paraId="2648EA62"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Are there certain individuals or groups you find challenging to interact with in your community since the CDP session?</w:t>
            </w:r>
          </w:p>
        </w:tc>
        <w:tc>
          <w:tcPr>
            <w:tcW w:w="800"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56547496"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Female</w:t>
            </w:r>
          </w:p>
        </w:tc>
        <w:tc>
          <w:tcPr>
            <w:tcW w:w="800" w:type="pct"/>
            <w:gridSpan w:val="2"/>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0109872C"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Male</w:t>
            </w:r>
          </w:p>
        </w:tc>
        <w:tc>
          <w:tcPr>
            <w:tcW w:w="917" w:type="pct"/>
            <w:gridSpan w:val="3"/>
            <w:tcBorders>
              <w:top w:val="single" w:sz="4" w:space="0" w:color="auto"/>
              <w:left w:val="single" w:sz="4" w:space="0" w:color="auto"/>
              <w:bottom w:val="single" w:sz="4" w:space="0" w:color="auto"/>
              <w:right w:val="single" w:sz="4" w:space="0" w:color="auto"/>
            </w:tcBorders>
            <w:shd w:val="clear" w:color="549E39" w:fill="549E39"/>
            <w:noWrap/>
            <w:vAlign w:val="bottom"/>
            <w:hideMark/>
          </w:tcPr>
          <w:p w14:paraId="65934CF1" w14:textId="77777777" w:rsidR="003A1DC2" w:rsidRPr="00116D0B" w:rsidRDefault="003A1DC2" w:rsidP="003A1DC2">
            <w:pPr>
              <w:widowControl/>
              <w:autoSpaceDE/>
              <w:autoSpaceDN/>
              <w:jc w:val="both"/>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3A1DC2" w:rsidRPr="00116D0B" w14:paraId="04269165" w14:textId="77777777" w:rsidTr="00F51140">
        <w:trPr>
          <w:trHeight w:val="300"/>
        </w:trPr>
        <w:tc>
          <w:tcPr>
            <w:tcW w:w="2483" w:type="pct"/>
            <w:gridSpan w:val="5"/>
            <w:tcBorders>
              <w:top w:val="single" w:sz="4" w:space="0" w:color="auto"/>
              <w:left w:val="single" w:sz="4" w:space="0" w:color="auto"/>
              <w:bottom w:val="single" w:sz="4" w:space="0" w:color="auto"/>
              <w:right w:val="single" w:sz="4" w:space="0" w:color="auto"/>
            </w:tcBorders>
            <w:noWrap/>
            <w:vAlign w:val="bottom"/>
            <w:hideMark/>
          </w:tcPr>
          <w:p w14:paraId="787410DE"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No</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17B81E5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89.7%</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0D71D099"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90.0%</w:t>
            </w:r>
          </w:p>
        </w:tc>
        <w:tc>
          <w:tcPr>
            <w:tcW w:w="917" w:type="pct"/>
            <w:gridSpan w:val="3"/>
            <w:tcBorders>
              <w:top w:val="single" w:sz="4" w:space="0" w:color="auto"/>
              <w:left w:val="single" w:sz="4" w:space="0" w:color="auto"/>
              <w:bottom w:val="single" w:sz="4" w:space="0" w:color="auto"/>
              <w:right w:val="single" w:sz="4" w:space="0" w:color="auto"/>
            </w:tcBorders>
            <w:noWrap/>
            <w:vAlign w:val="bottom"/>
            <w:hideMark/>
          </w:tcPr>
          <w:p w14:paraId="625C25E4"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89.9%</w:t>
            </w:r>
          </w:p>
        </w:tc>
      </w:tr>
      <w:tr w:rsidR="003A1DC2" w:rsidRPr="00116D0B" w14:paraId="7C673A14" w14:textId="77777777" w:rsidTr="00F51140">
        <w:trPr>
          <w:trHeight w:val="300"/>
        </w:trPr>
        <w:tc>
          <w:tcPr>
            <w:tcW w:w="2483" w:type="pct"/>
            <w:gridSpan w:val="5"/>
            <w:tcBorders>
              <w:top w:val="single" w:sz="4" w:space="0" w:color="auto"/>
              <w:left w:val="single" w:sz="4" w:space="0" w:color="auto"/>
              <w:bottom w:val="single" w:sz="4" w:space="0" w:color="auto"/>
              <w:right w:val="single" w:sz="4" w:space="0" w:color="auto"/>
            </w:tcBorders>
            <w:noWrap/>
            <w:vAlign w:val="bottom"/>
            <w:hideMark/>
          </w:tcPr>
          <w:p w14:paraId="56A482F1"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Yes</w:t>
            </w:r>
          </w:p>
        </w:tc>
        <w:tc>
          <w:tcPr>
            <w:tcW w:w="800" w:type="pct"/>
            <w:gridSpan w:val="3"/>
            <w:tcBorders>
              <w:top w:val="single" w:sz="4" w:space="0" w:color="auto"/>
              <w:left w:val="single" w:sz="4" w:space="0" w:color="auto"/>
              <w:bottom w:val="single" w:sz="4" w:space="0" w:color="auto"/>
              <w:right w:val="single" w:sz="4" w:space="0" w:color="auto"/>
            </w:tcBorders>
            <w:noWrap/>
            <w:vAlign w:val="bottom"/>
            <w:hideMark/>
          </w:tcPr>
          <w:p w14:paraId="00403AAF"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10.3%</w:t>
            </w:r>
          </w:p>
        </w:tc>
        <w:tc>
          <w:tcPr>
            <w:tcW w:w="800" w:type="pct"/>
            <w:gridSpan w:val="2"/>
            <w:tcBorders>
              <w:top w:val="single" w:sz="4" w:space="0" w:color="auto"/>
              <w:left w:val="single" w:sz="4" w:space="0" w:color="auto"/>
              <w:bottom w:val="single" w:sz="4" w:space="0" w:color="auto"/>
              <w:right w:val="single" w:sz="4" w:space="0" w:color="auto"/>
            </w:tcBorders>
            <w:noWrap/>
            <w:vAlign w:val="bottom"/>
            <w:hideMark/>
          </w:tcPr>
          <w:p w14:paraId="3B180AF7"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10.0%</w:t>
            </w:r>
          </w:p>
        </w:tc>
        <w:tc>
          <w:tcPr>
            <w:tcW w:w="917" w:type="pct"/>
            <w:gridSpan w:val="3"/>
            <w:tcBorders>
              <w:top w:val="single" w:sz="4" w:space="0" w:color="auto"/>
              <w:left w:val="single" w:sz="4" w:space="0" w:color="auto"/>
              <w:bottom w:val="single" w:sz="4" w:space="0" w:color="auto"/>
              <w:right w:val="single" w:sz="4" w:space="0" w:color="auto"/>
            </w:tcBorders>
            <w:noWrap/>
            <w:vAlign w:val="bottom"/>
            <w:hideMark/>
          </w:tcPr>
          <w:p w14:paraId="246972D6" w14:textId="77777777" w:rsidR="003A1DC2" w:rsidRPr="00116D0B" w:rsidRDefault="003A1DC2" w:rsidP="003A1DC2">
            <w:pPr>
              <w:widowControl/>
              <w:autoSpaceDE/>
              <w:autoSpaceDN/>
              <w:jc w:val="both"/>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10.1%</w:t>
            </w:r>
          </w:p>
        </w:tc>
      </w:tr>
    </w:tbl>
    <w:p w14:paraId="168227DD" w14:textId="6CF1627C" w:rsidR="003A1DC2" w:rsidRPr="00116D0B" w:rsidRDefault="003A1DC2" w:rsidP="003A1DC2">
      <w:pPr>
        <w:spacing w:before="240" w:after="240" w:line="276" w:lineRule="auto"/>
        <w:jc w:val="both"/>
        <w:rPr>
          <w:rFonts w:ascii="Garamond" w:hAnsi="Garamond"/>
          <w:b/>
          <w:sz w:val="24"/>
          <w:szCs w:val="24"/>
        </w:rPr>
      </w:pPr>
      <w:r w:rsidRPr="00116D0B">
        <w:rPr>
          <w:rFonts w:ascii="Garamond" w:hAnsi="Garamond"/>
          <w:b/>
          <w:sz w:val="24"/>
          <w:szCs w:val="24"/>
        </w:rPr>
        <w:t>Perception of influence, cooperation, and trust between community and local government</w:t>
      </w:r>
    </w:p>
    <w:p w14:paraId="6F5C133F" w14:textId="053D55FA" w:rsidR="003A1DC2" w:rsidRPr="00116D0B" w:rsidRDefault="003A1DC2" w:rsidP="003A1DC2">
      <w:pPr>
        <w:spacing w:before="240" w:after="240" w:line="276" w:lineRule="auto"/>
        <w:jc w:val="both"/>
        <w:rPr>
          <w:rFonts w:ascii="Garamond" w:hAnsi="Garamond"/>
          <w:sz w:val="24"/>
          <w:szCs w:val="24"/>
        </w:rPr>
      </w:pPr>
      <w:r w:rsidRPr="00116D0B">
        <w:rPr>
          <w:rFonts w:ascii="Garamond" w:hAnsi="Garamond"/>
          <w:sz w:val="24"/>
          <w:szCs w:val="24"/>
        </w:rPr>
        <w:t xml:space="preserve">When respondents were asked to report the extent to which they felt they could influence people and institutions that have authority in relation to their communities, the findings revealed an improvement from the baseline. Overall, while 40.6% of the respondents in the baseline felt they could influence people and institutions with authority in their communities, 71.8% of the respondents in the endline reported feeling this way. This implies that the CDP sessions have significantly enhanced the perceived ability of community members to influence local authority figures and institutions. </w:t>
      </w:r>
    </w:p>
    <w:p w14:paraId="5911D07E" w14:textId="6BA6B97D" w:rsidR="003A1DC2" w:rsidRPr="00116D0B" w:rsidRDefault="00362128" w:rsidP="003A1DC2">
      <w:pPr>
        <w:keepNext/>
        <w:spacing w:before="240" w:after="240" w:line="276" w:lineRule="auto"/>
        <w:jc w:val="both"/>
        <w:rPr>
          <w:rFonts w:ascii="Garamond" w:hAnsi="Garamond"/>
          <w:sz w:val="24"/>
          <w:szCs w:val="24"/>
        </w:rPr>
      </w:pPr>
      <w:r w:rsidRPr="00116D0B">
        <w:rPr>
          <w:rFonts w:ascii="Garamond" w:hAnsi="Garamond"/>
          <w:noProof/>
          <w:sz w:val="24"/>
          <w:szCs w:val="24"/>
        </w:rPr>
        <w:drawing>
          <wp:inline distT="0" distB="0" distL="0" distR="0" wp14:anchorId="776AC376" wp14:editId="4E3937FC">
            <wp:extent cx="6450037" cy="2628784"/>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3064" b="2478"/>
                    <a:stretch/>
                  </pic:blipFill>
                  <pic:spPr bwMode="auto">
                    <a:xfrm>
                      <a:off x="0" y="0"/>
                      <a:ext cx="6512413" cy="2654206"/>
                    </a:xfrm>
                    <a:prstGeom prst="rect">
                      <a:avLst/>
                    </a:prstGeom>
                    <a:noFill/>
                    <a:ln>
                      <a:noFill/>
                    </a:ln>
                    <a:extLst>
                      <a:ext uri="{53640926-AAD7-44D8-BBD7-CCE9431645EC}">
                        <a14:shadowObscured xmlns:a14="http://schemas.microsoft.com/office/drawing/2010/main"/>
                      </a:ext>
                    </a:extLst>
                  </pic:spPr>
                </pic:pic>
              </a:graphicData>
            </a:graphic>
          </wp:inline>
        </w:drawing>
      </w:r>
    </w:p>
    <w:p w14:paraId="5F791B31" w14:textId="471F16F5" w:rsidR="003A1DC2" w:rsidRPr="00116D0B" w:rsidRDefault="003A1DC2" w:rsidP="00C27173">
      <w:pPr>
        <w:pStyle w:val="Caption"/>
      </w:pPr>
      <w:bookmarkStart w:id="89" w:name="_Toc166703492"/>
      <w:r w:rsidRPr="00116D0B">
        <w:t xml:space="preserve">Figure </w:t>
      </w:r>
      <w:fldSimple w:instr=" SEQ Figure \* ARABIC ">
        <w:r w:rsidR="002756B8" w:rsidRPr="00116D0B">
          <w:rPr>
            <w:noProof/>
          </w:rPr>
          <w:t>3</w:t>
        </w:r>
      </w:fldSimple>
      <w:r w:rsidRPr="00116D0B">
        <w:t>: Perception of influence, cooperation, and trust between community and local government</w:t>
      </w:r>
      <w:bookmarkEnd w:id="89"/>
    </w:p>
    <w:p w14:paraId="6A560E9B" w14:textId="05C5289B" w:rsidR="003A1DC2" w:rsidRPr="00116D0B" w:rsidRDefault="003A1DC2" w:rsidP="003A1DC2">
      <w:pPr>
        <w:tabs>
          <w:tab w:val="left" w:pos="6997"/>
        </w:tabs>
        <w:spacing w:before="240" w:after="240" w:line="276" w:lineRule="auto"/>
        <w:jc w:val="both"/>
        <w:rPr>
          <w:rFonts w:ascii="Garamond" w:hAnsi="Garamond"/>
          <w:sz w:val="24"/>
          <w:szCs w:val="24"/>
        </w:rPr>
      </w:pPr>
      <w:r w:rsidRPr="00116D0B">
        <w:rPr>
          <w:rFonts w:ascii="Garamond" w:hAnsi="Garamond"/>
          <w:sz w:val="24"/>
          <w:szCs w:val="24"/>
        </w:rPr>
        <w:t xml:space="preserve">Similarly, the perception of cooperation between the community and local government also improved </w:t>
      </w:r>
      <w:r w:rsidRPr="00116D0B">
        <w:rPr>
          <w:rFonts w:ascii="Garamond" w:hAnsi="Garamond"/>
          <w:sz w:val="24"/>
          <w:szCs w:val="24"/>
        </w:rPr>
        <w:lastRenderedPageBreak/>
        <w:t xml:space="preserve">significantly. </w:t>
      </w:r>
      <w:r w:rsidR="00F51140" w:rsidRPr="00116D0B">
        <w:rPr>
          <w:rFonts w:ascii="Garamond" w:hAnsi="Garamond"/>
          <w:sz w:val="24"/>
          <w:szCs w:val="24"/>
        </w:rPr>
        <w:t>Findings from the endline survey revealed a significant positive shift in the community's perception of their cooperation with the local government from the baseline to the endline. At the baseline, a large proportion of respondents rated the cooperation as low or very low (65.5% combined), whereas at the endline, the majority rated it as high or very high (68% combined). This suggests that the CDP sessions were effective in enhancing the cooperation between the community and the local government.</w:t>
      </w:r>
    </w:p>
    <w:p w14:paraId="77B3854B" w14:textId="54C501C1" w:rsidR="00AE7BA9" w:rsidRPr="00116D0B" w:rsidRDefault="00AE7BA9" w:rsidP="003A1DC2">
      <w:pPr>
        <w:tabs>
          <w:tab w:val="left" w:pos="6997"/>
        </w:tabs>
        <w:spacing w:before="240" w:after="240" w:line="276" w:lineRule="auto"/>
        <w:jc w:val="both"/>
        <w:rPr>
          <w:rFonts w:ascii="Garamond" w:hAnsi="Garamond"/>
          <w:sz w:val="24"/>
          <w:szCs w:val="24"/>
        </w:rPr>
      </w:pPr>
      <w:r w:rsidRPr="00116D0B">
        <w:rPr>
          <w:rFonts w:ascii="Garamond" w:hAnsi="Garamond"/>
          <w:sz w:val="24"/>
          <w:szCs w:val="24"/>
        </w:rPr>
        <w:t>The findings is further reinforced by the qualitative data where community members reported that the project fostered unity among community members and encouraged joint efforts between the community and government stakeholders. This unity transcended barriers of gender, religion, age, and vulnerability. As a result, community members worked together towards common goals, which included advocating for their needs and collaborating with local government authorities.</w:t>
      </w:r>
    </w:p>
    <w:p w14:paraId="24E120DB" w14:textId="11223900" w:rsidR="00A34AA1" w:rsidRPr="00116D0B" w:rsidRDefault="00A34AA1" w:rsidP="00A34AA1">
      <w:pPr>
        <w:tabs>
          <w:tab w:val="left" w:pos="6997"/>
        </w:tabs>
        <w:spacing w:before="240" w:after="240" w:line="276" w:lineRule="auto"/>
        <w:jc w:val="center"/>
        <w:rPr>
          <w:rFonts w:ascii="Garamond" w:hAnsi="Garamond"/>
          <w:b/>
          <w:i/>
          <w:sz w:val="24"/>
          <w:szCs w:val="24"/>
        </w:rPr>
      </w:pPr>
      <w:r w:rsidRPr="00116D0B">
        <w:rPr>
          <w:rFonts w:ascii="Garamond" w:hAnsi="Garamond"/>
          <w:b/>
          <w:i/>
          <w:sz w:val="24"/>
          <w:szCs w:val="24"/>
        </w:rPr>
        <w:t xml:space="preserve">"Now our community and political leaders engage us in all they do, they carry us along."- KII with community member </w:t>
      </w:r>
      <w:proofErr w:type="spellStart"/>
      <w:r w:rsidRPr="00116D0B">
        <w:rPr>
          <w:rFonts w:ascii="Garamond" w:hAnsi="Garamond"/>
          <w:b/>
          <w:i/>
          <w:sz w:val="24"/>
          <w:szCs w:val="24"/>
        </w:rPr>
        <w:t>Tumbara</w:t>
      </w:r>
      <w:proofErr w:type="spellEnd"/>
      <w:r w:rsidRPr="00116D0B">
        <w:rPr>
          <w:rFonts w:ascii="Garamond" w:hAnsi="Garamond"/>
          <w:b/>
          <w:i/>
          <w:sz w:val="24"/>
          <w:szCs w:val="24"/>
        </w:rPr>
        <w:t>/</w:t>
      </w:r>
      <w:proofErr w:type="spellStart"/>
      <w:r w:rsidRPr="00116D0B">
        <w:rPr>
          <w:rFonts w:ascii="Garamond" w:hAnsi="Garamond"/>
          <w:b/>
          <w:i/>
          <w:sz w:val="24"/>
          <w:szCs w:val="24"/>
        </w:rPr>
        <w:t>Ngabali</w:t>
      </w:r>
      <w:proofErr w:type="spellEnd"/>
    </w:p>
    <w:p w14:paraId="68F17B21" w14:textId="35A012E2" w:rsidR="00A34AA1" w:rsidRPr="00116D0B" w:rsidRDefault="00A34AA1" w:rsidP="00A34AA1">
      <w:pPr>
        <w:tabs>
          <w:tab w:val="left" w:pos="6997"/>
        </w:tabs>
        <w:spacing w:before="240" w:after="240" w:line="276" w:lineRule="auto"/>
        <w:jc w:val="center"/>
        <w:rPr>
          <w:rFonts w:ascii="Garamond" w:hAnsi="Garamond"/>
          <w:b/>
          <w:i/>
          <w:sz w:val="24"/>
          <w:szCs w:val="24"/>
        </w:rPr>
      </w:pPr>
      <w:r w:rsidRPr="00116D0B">
        <w:rPr>
          <w:rFonts w:ascii="Garamond" w:hAnsi="Garamond"/>
          <w:b/>
          <w:i/>
          <w:sz w:val="24"/>
          <w:szCs w:val="24"/>
        </w:rPr>
        <w:t>"We are always interacting between the executive council or local government council and members of the community through the WDSCs to discuss issues relating to their development plan and activities. Whenever they invite us, we always avail ourselves to hear them out. We have been able to build cordial relationship with members of the community as a result of this project."- KII with local government secretary Michika LGA</w:t>
      </w:r>
    </w:p>
    <w:p w14:paraId="2E5CC9BD" w14:textId="734929A9" w:rsidR="00211CA6" w:rsidRPr="00116D0B" w:rsidRDefault="00211CA6" w:rsidP="00211CA6">
      <w:pPr>
        <w:jc w:val="center"/>
        <w:rPr>
          <w:rFonts w:ascii="Garamond" w:hAnsi="Garamond"/>
          <w:b/>
          <w:i/>
          <w:sz w:val="24"/>
          <w:szCs w:val="24"/>
        </w:rPr>
      </w:pPr>
      <w:r w:rsidRPr="00116D0B">
        <w:rPr>
          <w:rFonts w:ascii="Garamond" w:hAnsi="Garamond"/>
          <w:b/>
          <w:i/>
          <w:sz w:val="24"/>
          <w:szCs w:val="24"/>
        </w:rPr>
        <w:t xml:space="preserve">“There's strong cohesion between stakeholders in the community. Whenever there's need for a project we meet them for their support as community members and they do support us with money and with some advice and suggestions which are very good.” - KII with Religious representative </w:t>
      </w:r>
      <w:proofErr w:type="spellStart"/>
      <w:r w:rsidRPr="00116D0B">
        <w:rPr>
          <w:rFonts w:ascii="Garamond" w:hAnsi="Garamond"/>
          <w:b/>
          <w:i/>
          <w:sz w:val="24"/>
          <w:szCs w:val="24"/>
        </w:rPr>
        <w:t>Wamblimi</w:t>
      </w:r>
      <w:proofErr w:type="spellEnd"/>
      <w:r w:rsidRPr="00116D0B">
        <w:rPr>
          <w:rFonts w:ascii="Garamond" w:hAnsi="Garamond"/>
          <w:b/>
          <w:i/>
          <w:sz w:val="24"/>
          <w:szCs w:val="24"/>
        </w:rPr>
        <w:t>/Tilli</w:t>
      </w:r>
    </w:p>
    <w:p w14:paraId="6B523BC5" w14:textId="6245DEFB" w:rsidR="00F51140" w:rsidRPr="00116D0B" w:rsidRDefault="00362128" w:rsidP="00F51140">
      <w:pPr>
        <w:keepNext/>
        <w:tabs>
          <w:tab w:val="left" w:pos="6997"/>
        </w:tabs>
        <w:spacing w:before="240" w:after="240" w:line="276" w:lineRule="auto"/>
        <w:jc w:val="both"/>
        <w:rPr>
          <w:rFonts w:ascii="Garamond" w:hAnsi="Garamond"/>
          <w:sz w:val="24"/>
          <w:szCs w:val="24"/>
        </w:rPr>
      </w:pPr>
      <w:r w:rsidRPr="00116D0B">
        <w:rPr>
          <w:rFonts w:ascii="Garamond" w:hAnsi="Garamond"/>
          <w:noProof/>
          <w:sz w:val="24"/>
          <w:szCs w:val="24"/>
        </w:rPr>
        <w:drawing>
          <wp:inline distT="0" distB="0" distL="0" distR="0" wp14:anchorId="55EA73CB" wp14:editId="2EF92323">
            <wp:extent cx="6195604" cy="24783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6996" cy="2486913"/>
                    </a:xfrm>
                    <a:prstGeom prst="rect">
                      <a:avLst/>
                    </a:prstGeom>
                    <a:noFill/>
                  </pic:spPr>
                </pic:pic>
              </a:graphicData>
            </a:graphic>
          </wp:inline>
        </w:drawing>
      </w:r>
    </w:p>
    <w:p w14:paraId="62701D59" w14:textId="5F74BC29" w:rsidR="00BF58AC" w:rsidRPr="00116D0B" w:rsidRDefault="00F51140" w:rsidP="00C27173">
      <w:pPr>
        <w:pStyle w:val="Caption"/>
      </w:pPr>
      <w:bookmarkStart w:id="90" w:name="_Toc166703493"/>
      <w:r w:rsidRPr="00116D0B">
        <w:t xml:space="preserve">Figure </w:t>
      </w:r>
      <w:fldSimple w:instr=" SEQ Figure \* ARABIC ">
        <w:r w:rsidR="002756B8" w:rsidRPr="00116D0B">
          <w:rPr>
            <w:noProof/>
          </w:rPr>
          <w:t>4</w:t>
        </w:r>
      </w:fldSimple>
      <w:r w:rsidRPr="00116D0B">
        <w:t>: perception of cooperation between the community and local government</w:t>
      </w:r>
      <w:bookmarkEnd w:id="90"/>
    </w:p>
    <w:p w14:paraId="3DB4D92E" w14:textId="77777777" w:rsidR="00362128" w:rsidRPr="00116D0B" w:rsidRDefault="00362128" w:rsidP="00BF58AC">
      <w:pPr>
        <w:spacing w:before="240" w:after="240" w:line="276" w:lineRule="auto"/>
        <w:jc w:val="both"/>
        <w:rPr>
          <w:rFonts w:ascii="Garamond" w:hAnsi="Garamond"/>
          <w:b/>
          <w:sz w:val="24"/>
          <w:szCs w:val="24"/>
        </w:rPr>
      </w:pPr>
    </w:p>
    <w:p w14:paraId="60D4E0AE" w14:textId="77777777" w:rsidR="00362128" w:rsidRPr="00116D0B" w:rsidRDefault="00362128" w:rsidP="00BF58AC">
      <w:pPr>
        <w:spacing w:before="240" w:after="240" w:line="276" w:lineRule="auto"/>
        <w:jc w:val="both"/>
        <w:rPr>
          <w:rFonts w:ascii="Garamond" w:hAnsi="Garamond"/>
          <w:b/>
          <w:sz w:val="24"/>
          <w:szCs w:val="24"/>
        </w:rPr>
      </w:pPr>
    </w:p>
    <w:p w14:paraId="1D1684E2" w14:textId="4FA750D5" w:rsidR="00BF58AC" w:rsidRPr="00116D0B" w:rsidRDefault="00BF58AC" w:rsidP="00BF58AC">
      <w:pPr>
        <w:spacing w:before="240" w:after="240" w:line="276" w:lineRule="auto"/>
        <w:jc w:val="both"/>
        <w:rPr>
          <w:rFonts w:ascii="Garamond" w:hAnsi="Garamond"/>
          <w:b/>
          <w:sz w:val="24"/>
          <w:szCs w:val="24"/>
        </w:rPr>
      </w:pPr>
      <w:r w:rsidRPr="00116D0B">
        <w:rPr>
          <w:rFonts w:ascii="Garamond" w:hAnsi="Garamond"/>
          <w:b/>
          <w:sz w:val="24"/>
          <w:szCs w:val="24"/>
        </w:rPr>
        <w:lastRenderedPageBreak/>
        <w:t>Perception of community members regarding the government response to the needs of the community</w:t>
      </w:r>
    </w:p>
    <w:p w14:paraId="39B448A0" w14:textId="2D6BD6A7" w:rsidR="00BF58AC" w:rsidRPr="00116D0B" w:rsidRDefault="00BF58AC" w:rsidP="00BF58AC">
      <w:pPr>
        <w:spacing w:before="240" w:after="240" w:line="276" w:lineRule="auto"/>
        <w:jc w:val="both"/>
        <w:rPr>
          <w:rFonts w:ascii="Garamond" w:hAnsi="Garamond"/>
          <w:sz w:val="24"/>
          <w:szCs w:val="24"/>
        </w:rPr>
      </w:pPr>
      <w:r w:rsidRPr="00116D0B">
        <w:rPr>
          <w:rFonts w:ascii="Garamond" w:hAnsi="Garamond"/>
          <w:sz w:val="24"/>
          <w:szCs w:val="24"/>
        </w:rPr>
        <w:t>The evaluation of the government's response to the needs of the community shows a significant positive shift from the baseline to the endline survey. At the baseline, only a small percentage of respondents rated the government's response as "very high" (2.3%) or "high" (9.4%), totaling 11.7%. This indicates that the majority of community members initially had a low level of satisfaction with governmental responsiveness, with 30.9% rating it as "low" and 34.6% as "very low."</w:t>
      </w:r>
    </w:p>
    <w:p w14:paraId="0D9EE4C9" w14:textId="494B682E" w:rsidR="00BF58AC" w:rsidRPr="00116D0B" w:rsidRDefault="00BF58AC" w:rsidP="00BF58AC">
      <w:pPr>
        <w:spacing w:before="240" w:after="240" w:line="276" w:lineRule="auto"/>
        <w:jc w:val="both"/>
        <w:rPr>
          <w:rFonts w:ascii="Garamond" w:hAnsi="Garamond"/>
          <w:sz w:val="24"/>
          <w:szCs w:val="24"/>
        </w:rPr>
      </w:pPr>
      <w:r w:rsidRPr="00116D0B">
        <w:rPr>
          <w:rFonts w:ascii="Garamond" w:hAnsi="Garamond"/>
          <w:sz w:val="24"/>
          <w:szCs w:val="24"/>
        </w:rPr>
        <w:t>In contrast, the endline results reveal a marked improvement in perceptions of governmental response post-CDP process. The combined "very high" and "high" ratings increased substantially to 68%, with 21.7% of respondents rating the response as "very high" and 46.3% as "high." This significant positive shift indicates that the CDP sessions has had a substantial impact on improving the community's perception of the government's responsiveness to their needs.</w:t>
      </w:r>
    </w:p>
    <w:p w14:paraId="20AEB64A" w14:textId="77777777" w:rsidR="002756B8" w:rsidRPr="00116D0B" w:rsidRDefault="00BF58AC" w:rsidP="002756B8">
      <w:pPr>
        <w:keepNext/>
        <w:rPr>
          <w:rFonts w:ascii="Garamond" w:hAnsi="Garamond"/>
          <w:sz w:val="24"/>
          <w:szCs w:val="24"/>
        </w:rPr>
      </w:pPr>
      <w:r w:rsidRPr="00116D0B">
        <w:rPr>
          <w:rFonts w:ascii="Garamond" w:hAnsi="Garamond"/>
          <w:noProof/>
          <w:sz w:val="24"/>
          <w:szCs w:val="24"/>
        </w:rPr>
        <w:drawing>
          <wp:inline distT="0" distB="0" distL="0" distR="0" wp14:anchorId="5D16D862" wp14:editId="6E5EB6A3">
            <wp:extent cx="4543399" cy="2363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896" t="1977" r="2627" b="3101"/>
                    <a:stretch/>
                  </pic:blipFill>
                  <pic:spPr bwMode="auto">
                    <a:xfrm>
                      <a:off x="0" y="0"/>
                      <a:ext cx="4560331" cy="2371935"/>
                    </a:xfrm>
                    <a:prstGeom prst="rect">
                      <a:avLst/>
                    </a:prstGeom>
                    <a:noFill/>
                    <a:ln>
                      <a:noFill/>
                    </a:ln>
                    <a:extLst>
                      <a:ext uri="{53640926-AAD7-44D8-BBD7-CCE9431645EC}">
                        <a14:shadowObscured xmlns:a14="http://schemas.microsoft.com/office/drawing/2010/main"/>
                      </a:ext>
                    </a:extLst>
                  </pic:spPr>
                </pic:pic>
              </a:graphicData>
            </a:graphic>
          </wp:inline>
        </w:drawing>
      </w:r>
    </w:p>
    <w:p w14:paraId="1ACBBC34" w14:textId="49D43CFC" w:rsidR="005F7703" w:rsidRPr="00116D0B" w:rsidRDefault="002756B8" w:rsidP="00C27173">
      <w:pPr>
        <w:pStyle w:val="Caption"/>
      </w:pPr>
      <w:bookmarkStart w:id="91" w:name="_Toc166703494"/>
      <w:r w:rsidRPr="00116D0B">
        <w:t xml:space="preserve">Figure </w:t>
      </w:r>
      <w:fldSimple w:instr=" SEQ Figure \* ARABIC ">
        <w:r w:rsidRPr="00116D0B">
          <w:rPr>
            <w:noProof/>
          </w:rPr>
          <w:t>5</w:t>
        </w:r>
      </w:fldSimple>
      <w:r w:rsidRPr="00116D0B">
        <w:t>: level of satisfaction with Local Government responsiveness to community needs</w:t>
      </w:r>
      <w:bookmarkEnd w:id="91"/>
    </w:p>
    <w:p w14:paraId="3B04991B" w14:textId="4ABD0966" w:rsidR="005F7703" w:rsidRPr="00116D0B" w:rsidRDefault="005F7703" w:rsidP="005F7703">
      <w:pPr>
        <w:tabs>
          <w:tab w:val="left" w:pos="1612"/>
        </w:tabs>
        <w:spacing w:before="240" w:after="240" w:line="276" w:lineRule="auto"/>
        <w:jc w:val="both"/>
        <w:rPr>
          <w:rFonts w:ascii="Garamond" w:hAnsi="Garamond"/>
          <w:sz w:val="24"/>
          <w:szCs w:val="24"/>
        </w:rPr>
      </w:pPr>
      <w:r w:rsidRPr="00116D0B">
        <w:rPr>
          <w:rFonts w:ascii="Garamond" w:hAnsi="Garamond"/>
          <w:sz w:val="24"/>
          <w:szCs w:val="24"/>
        </w:rPr>
        <w:t xml:space="preserve">The assessment of the relationship between community leaders and the local government indicates a significant improvement from the baseline to the endline survey. During the baseline, </w:t>
      </w:r>
      <w:r w:rsidR="006F3CDC">
        <w:rPr>
          <w:rFonts w:ascii="Garamond" w:hAnsi="Garamond"/>
          <w:sz w:val="24"/>
          <w:szCs w:val="24"/>
        </w:rPr>
        <w:t xml:space="preserve">a minor </w:t>
      </w:r>
      <w:r w:rsidRPr="00116D0B">
        <w:rPr>
          <w:rFonts w:ascii="Garamond" w:hAnsi="Garamond"/>
          <w:sz w:val="24"/>
          <w:szCs w:val="24"/>
        </w:rPr>
        <w:t>25.5% of the respondents felt the relationship between community leaders and the local government was positive. In contrast, the endline results revealed a significant improvement in perceptions, as a significant majority (65.8%) of the respondents held a positive view regarding the relationship between community leaders and the local government. This considerable positive shift highlights that the CDP sessions have fostered a stronger, more collaborative relationship between community leaders and the local government, enhancing overall governance and community development efforts.</w:t>
      </w:r>
    </w:p>
    <w:p w14:paraId="237654A4" w14:textId="6F590057" w:rsidR="005F7703" w:rsidRPr="00116D0B" w:rsidRDefault="002756B8" w:rsidP="005F7703">
      <w:pPr>
        <w:keepNext/>
        <w:tabs>
          <w:tab w:val="left" w:pos="1612"/>
        </w:tabs>
        <w:spacing w:before="240" w:after="240" w:line="276" w:lineRule="auto"/>
        <w:jc w:val="both"/>
        <w:rPr>
          <w:rFonts w:ascii="Garamond" w:hAnsi="Garamond"/>
          <w:sz w:val="24"/>
          <w:szCs w:val="24"/>
        </w:rPr>
      </w:pPr>
      <w:r w:rsidRPr="00116D0B">
        <w:rPr>
          <w:rFonts w:ascii="Garamond" w:hAnsi="Garamond"/>
          <w:noProof/>
          <w:sz w:val="24"/>
          <w:szCs w:val="24"/>
        </w:rPr>
        <w:lastRenderedPageBreak/>
        <w:drawing>
          <wp:inline distT="0" distB="0" distL="0" distR="0" wp14:anchorId="446EF44E" wp14:editId="4701E689">
            <wp:extent cx="6223000" cy="2666365"/>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000" cy="2666365"/>
                    </a:xfrm>
                    <a:prstGeom prst="rect">
                      <a:avLst/>
                    </a:prstGeom>
                  </pic:spPr>
                </pic:pic>
              </a:graphicData>
            </a:graphic>
          </wp:inline>
        </w:drawing>
      </w:r>
    </w:p>
    <w:p w14:paraId="5287BBB9" w14:textId="7D202F6B" w:rsidR="005F7703" w:rsidRPr="00116D0B" w:rsidRDefault="005F7703" w:rsidP="00C27173">
      <w:pPr>
        <w:pStyle w:val="Caption"/>
      </w:pPr>
      <w:bookmarkStart w:id="92" w:name="_Toc166703495"/>
      <w:r w:rsidRPr="00116D0B">
        <w:t xml:space="preserve">Figure </w:t>
      </w:r>
      <w:fldSimple w:instr=" SEQ Figure \* ARABIC ">
        <w:r w:rsidR="002756B8" w:rsidRPr="00116D0B">
          <w:rPr>
            <w:noProof/>
          </w:rPr>
          <w:t>6</w:t>
        </w:r>
      </w:fldSimple>
      <w:r w:rsidRPr="00116D0B">
        <w:t>: Percentage of respondents reporting positive relationship between community leaders and local government</w:t>
      </w:r>
      <w:bookmarkEnd w:id="92"/>
    </w:p>
    <w:p w14:paraId="2D537FCD" w14:textId="07578D62" w:rsidR="005F7703" w:rsidRPr="00116D0B" w:rsidRDefault="00D76ACF" w:rsidP="00D76ACF">
      <w:pPr>
        <w:tabs>
          <w:tab w:val="left" w:pos="1612"/>
        </w:tabs>
        <w:spacing w:before="240" w:after="240" w:line="276" w:lineRule="auto"/>
        <w:jc w:val="both"/>
        <w:rPr>
          <w:rFonts w:ascii="Garamond" w:hAnsi="Garamond"/>
          <w:sz w:val="24"/>
          <w:szCs w:val="24"/>
        </w:rPr>
      </w:pPr>
      <w:r w:rsidRPr="00116D0B">
        <w:rPr>
          <w:rFonts w:ascii="Garamond" w:hAnsi="Garamond"/>
          <w:sz w:val="24"/>
          <w:szCs w:val="24"/>
        </w:rPr>
        <w:t>The evaluation also aimed to examine the respondents' perceptions regarding equal opportunities for participating in social, cultural, and political life in the community. Findings from the endline survey revealed a significant positive shift in the community's perception. During the baseline, only 33.1% of the respondents held the view that women and men have equal opportunities for participating in social, cultural, and political life in the community. Meanwhile, in the endline survey, 78.3% of the respondents also shared the opinion that women and men have equal opportunities for participating in social, cultural, and political life in the community, indicating a significant improvement from the baseline. This suggests that the CDP sessions were effective in enhancing cooperation between the community and the local government.</w:t>
      </w:r>
    </w:p>
    <w:p w14:paraId="77F46EDA" w14:textId="6A44005F" w:rsidR="00B47FC3" w:rsidRPr="00116D0B" w:rsidRDefault="002756B8" w:rsidP="00B47FC3">
      <w:pPr>
        <w:keepNext/>
        <w:tabs>
          <w:tab w:val="left" w:pos="1612"/>
        </w:tabs>
        <w:rPr>
          <w:rFonts w:ascii="Garamond" w:hAnsi="Garamond"/>
          <w:sz w:val="24"/>
          <w:szCs w:val="24"/>
        </w:rPr>
      </w:pPr>
      <w:r w:rsidRPr="00116D0B">
        <w:rPr>
          <w:rFonts w:ascii="Garamond" w:hAnsi="Garamond"/>
          <w:noProof/>
          <w:sz w:val="24"/>
          <w:szCs w:val="24"/>
        </w:rPr>
        <w:drawing>
          <wp:inline distT="0" distB="0" distL="0" distR="0" wp14:anchorId="73884D72" wp14:editId="6193C982">
            <wp:extent cx="6023502" cy="26868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t="2551"/>
                    <a:stretch/>
                  </pic:blipFill>
                  <pic:spPr bwMode="auto">
                    <a:xfrm>
                      <a:off x="0" y="0"/>
                      <a:ext cx="6039867" cy="2694132"/>
                    </a:xfrm>
                    <a:prstGeom prst="rect">
                      <a:avLst/>
                    </a:prstGeom>
                    <a:noFill/>
                    <a:ln>
                      <a:noFill/>
                    </a:ln>
                    <a:extLst>
                      <a:ext uri="{53640926-AAD7-44D8-BBD7-CCE9431645EC}">
                        <a14:shadowObscured xmlns:a14="http://schemas.microsoft.com/office/drawing/2010/main"/>
                      </a:ext>
                    </a:extLst>
                  </pic:spPr>
                </pic:pic>
              </a:graphicData>
            </a:graphic>
          </wp:inline>
        </w:drawing>
      </w:r>
    </w:p>
    <w:p w14:paraId="6ED28040" w14:textId="6A6A035F" w:rsidR="005F7703" w:rsidRPr="00116D0B" w:rsidRDefault="00B47FC3" w:rsidP="00C27173">
      <w:pPr>
        <w:pStyle w:val="Caption"/>
      </w:pPr>
      <w:bookmarkStart w:id="93" w:name="_Toc166703496"/>
      <w:r w:rsidRPr="00116D0B">
        <w:t xml:space="preserve">Figure </w:t>
      </w:r>
      <w:fldSimple w:instr=" SEQ Figure \* ARABIC ">
        <w:r w:rsidR="002756B8" w:rsidRPr="00116D0B">
          <w:rPr>
            <w:noProof/>
          </w:rPr>
          <w:t>7</w:t>
        </w:r>
      </w:fldSimple>
      <w:r w:rsidRPr="00116D0B">
        <w:t>: Perceptions regarding equal opportunities for participating in social, cultural, and political life in the community</w:t>
      </w:r>
      <w:bookmarkEnd w:id="93"/>
    </w:p>
    <w:p w14:paraId="7524022D" w14:textId="77777777" w:rsidR="002756B8" w:rsidRPr="00116D0B" w:rsidRDefault="002756B8" w:rsidP="005F7703">
      <w:pPr>
        <w:tabs>
          <w:tab w:val="left" w:pos="1612"/>
        </w:tabs>
        <w:rPr>
          <w:rFonts w:ascii="Garamond" w:hAnsi="Garamond"/>
          <w:b/>
          <w:sz w:val="24"/>
          <w:szCs w:val="24"/>
        </w:rPr>
      </w:pPr>
    </w:p>
    <w:p w14:paraId="1E7E760D" w14:textId="77777777" w:rsidR="002756B8" w:rsidRPr="00116D0B" w:rsidRDefault="002756B8" w:rsidP="005F7703">
      <w:pPr>
        <w:tabs>
          <w:tab w:val="left" w:pos="1612"/>
        </w:tabs>
        <w:rPr>
          <w:rFonts w:ascii="Garamond" w:hAnsi="Garamond"/>
          <w:b/>
          <w:sz w:val="24"/>
          <w:szCs w:val="24"/>
        </w:rPr>
      </w:pPr>
    </w:p>
    <w:p w14:paraId="475AFB71" w14:textId="58E32E92" w:rsidR="00D76ACF" w:rsidRPr="00116D0B" w:rsidRDefault="00D76ACF" w:rsidP="005F7703">
      <w:pPr>
        <w:tabs>
          <w:tab w:val="left" w:pos="1612"/>
        </w:tabs>
        <w:rPr>
          <w:rFonts w:ascii="Garamond" w:hAnsi="Garamond"/>
          <w:b/>
          <w:sz w:val="24"/>
          <w:szCs w:val="24"/>
        </w:rPr>
      </w:pPr>
      <w:r w:rsidRPr="00116D0B">
        <w:rPr>
          <w:rFonts w:ascii="Garamond" w:hAnsi="Garamond"/>
          <w:b/>
          <w:sz w:val="24"/>
          <w:szCs w:val="24"/>
        </w:rPr>
        <w:t>Quality of social relationship/interactions among members of the community</w:t>
      </w:r>
    </w:p>
    <w:p w14:paraId="7F36C485" w14:textId="0D6CA065" w:rsidR="00B47FC3" w:rsidRPr="00116D0B" w:rsidRDefault="00B47FC3" w:rsidP="00B47FC3">
      <w:pPr>
        <w:tabs>
          <w:tab w:val="left" w:pos="1612"/>
        </w:tabs>
        <w:spacing w:before="240" w:after="240" w:line="276" w:lineRule="auto"/>
        <w:jc w:val="both"/>
        <w:rPr>
          <w:rFonts w:ascii="Garamond" w:hAnsi="Garamond"/>
          <w:sz w:val="24"/>
          <w:szCs w:val="24"/>
        </w:rPr>
      </w:pPr>
      <w:r w:rsidRPr="00116D0B">
        <w:rPr>
          <w:rFonts w:ascii="Garamond" w:hAnsi="Garamond"/>
          <w:sz w:val="24"/>
          <w:szCs w:val="24"/>
        </w:rPr>
        <w:t>A notable improvement in perceptions of social relationships and interactions among members of the community was observed at the endline evaluation. Initially, at the baseline, only 7.5% of respondents rated these relationships as very high, with 25.6% considering them high. However, at the endline, a substantial increase was observed, with 31.8% of respondents now rating social relationships as very high and 47.2% as high. Overall, the endline data reflects a more optimistic outlook regarding social relationships and interactions among community members, highlighting progress towards fostering stronger social bonds and cohesion within the community.</w:t>
      </w:r>
    </w:p>
    <w:p w14:paraId="6CE77B05" w14:textId="51724E66" w:rsidR="00BD60C8" w:rsidRPr="00116D0B" w:rsidRDefault="002756B8" w:rsidP="00BD60C8">
      <w:pPr>
        <w:keepNext/>
        <w:tabs>
          <w:tab w:val="left" w:pos="1612"/>
        </w:tabs>
        <w:rPr>
          <w:rFonts w:ascii="Garamond" w:hAnsi="Garamond"/>
          <w:sz w:val="24"/>
          <w:szCs w:val="24"/>
        </w:rPr>
      </w:pPr>
      <w:r w:rsidRPr="00116D0B">
        <w:rPr>
          <w:rFonts w:ascii="Garamond" w:hAnsi="Garamond"/>
          <w:noProof/>
          <w:sz w:val="24"/>
          <w:szCs w:val="24"/>
        </w:rPr>
        <w:drawing>
          <wp:inline distT="0" distB="0" distL="0" distR="0" wp14:anchorId="79B1B08F" wp14:editId="76E76093">
            <wp:extent cx="6277511" cy="25040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413" cy="2511589"/>
                    </a:xfrm>
                    <a:prstGeom prst="rect">
                      <a:avLst/>
                    </a:prstGeom>
                    <a:noFill/>
                  </pic:spPr>
                </pic:pic>
              </a:graphicData>
            </a:graphic>
          </wp:inline>
        </w:drawing>
      </w:r>
    </w:p>
    <w:p w14:paraId="2A0BB95E" w14:textId="66A3883C" w:rsidR="00BD60C8" w:rsidRPr="00116D0B" w:rsidRDefault="00BD60C8" w:rsidP="00C27173">
      <w:pPr>
        <w:pStyle w:val="Caption"/>
        <w:rPr>
          <w:b/>
        </w:rPr>
      </w:pPr>
      <w:bookmarkStart w:id="94" w:name="_Toc166703497"/>
      <w:r w:rsidRPr="00116D0B">
        <w:t xml:space="preserve">Figure </w:t>
      </w:r>
      <w:fldSimple w:instr=" SEQ Figure \* ARABIC ">
        <w:r w:rsidR="002756B8" w:rsidRPr="00116D0B">
          <w:rPr>
            <w:noProof/>
          </w:rPr>
          <w:t>8</w:t>
        </w:r>
      </w:fldSimple>
      <w:r w:rsidRPr="00116D0B">
        <w:t>: Respondents perceptions of social relationships and interactions in the community</w:t>
      </w:r>
      <w:bookmarkEnd w:id="94"/>
    </w:p>
    <w:p w14:paraId="667361B4" w14:textId="3BBB65E2" w:rsidR="00B47FC3" w:rsidRPr="00116D0B" w:rsidRDefault="002756B8" w:rsidP="002756B8">
      <w:pPr>
        <w:pStyle w:val="TOC3"/>
      </w:pPr>
      <w:r w:rsidRPr="00116D0B">
        <w:t>4.3.3</w:t>
      </w:r>
      <w:r w:rsidRPr="00116D0B">
        <w:tab/>
      </w:r>
      <w:r w:rsidR="00BD60C8" w:rsidRPr="00116D0B">
        <w:t>Post CDP session Evaluation</w:t>
      </w:r>
    </w:p>
    <w:p w14:paraId="712755A5" w14:textId="16B2B65F" w:rsidR="00BD60C8" w:rsidRPr="00116D0B" w:rsidRDefault="00BD60C8"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t>The findings as indicated in figure 9 revealed that the majority of respondents reported a positive change in their perception and involvement in community development as a result of participating in CDP sessions. Specifically, 82.7% of the respondents reported experiencing some level of positive change, suggesting that the CDP sessions have had an overall beneficial impact on participants' perceptions and involvement in community development endeavors.</w:t>
      </w:r>
    </w:p>
    <w:p w14:paraId="2AE571CB" w14:textId="14A497E4" w:rsidR="00BD60C8" w:rsidRPr="00116D0B" w:rsidRDefault="00BD60C8"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t>Similarly, the assessment of women's participation in CDP sessions unveils varied perceptions a</w:t>
      </w:r>
      <w:r w:rsidR="003E3381" w:rsidRPr="00116D0B">
        <w:rPr>
          <w:rFonts w:ascii="Garamond" w:hAnsi="Garamond"/>
          <w:sz w:val="24"/>
          <w:szCs w:val="24"/>
        </w:rPr>
        <w:t xml:space="preserve">cross different wards. Notably and overall, 77.8% of the respondents reported women’s engagement in the CDP session to </w:t>
      </w:r>
      <w:r w:rsidR="004F0EA9" w:rsidRPr="00116D0B">
        <w:rPr>
          <w:rFonts w:ascii="Garamond" w:hAnsi="Garamond"/>
          <w:sz w:val="24"/>
          <w:szCs w:val="24"/>
        </w:rPr>
        <w:t xml:space="preserve">be </w:t>
      </w:r>
      <w:r w:rsidR="003E3381" w:rsidRPr="00116D0B">
        <w:rPr>
          <w:rFonts w:ascii="Garamond" w:hAnsi="Garamond"/>
          <w:sz w:val="24"/>
          <w:szCs w:val="24"/>
        </w:rPr>
        <w:t xml:space="preserve">very high or high, reflecting the </w:t>
      </w:r>
      <w:r w:rsidRPr="00116D0B">
        <w:rPr>
          <w:rFonts w:ascii="Garamond" w:hAnsi="Garamond"/>
          <w:sz w:val="24"/>
          <w:szCs w:val="24"/>
        </w:rPr>
        <w:t>effectiveness of outreach efforts aimed at promoting gender inclusivity in community development activities</w:t>
      </w:r>
      <w:r w:rsidR="003E3381" w:rsidRPr="00116D0B">
        <w:rPr>
          <w:rFonts w:ascii="Garamond" w:hAnsi="Garamond"/>
          <w:sz w:val="24"/>
          <w:szCs w:val="24"/>
        </w:rPr>
        <w:t xml:space="preserve"> by the project</w:t>
      </w:r>
      <w:r w:rsidRPr="00116D0B">
        <w:rPr>
          <w:rFonts w:ascii="Garamond" w:hAnsi="Garamond"/>
          <w:sz w:val="24"/>
          <w:szCs w:val="24"/>
        </w:rPr>
        <w:t>.</w:t>
      </w:r>
    </w:p>
    <w:p w14:paraId="2407422A" w14:textId="77777777" w:rsidR="004F0EA9" w:rsidRPr="00116D0B" w:rsidRDefault="00BD60C8"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t xml:space="preserve">Furthermore, the </w:t>
      </w:r>
      <w:r w:rsidR="003E3381" w:rsidRPr="00116D0B">
        <w:rPr>
          <w:rFonts w:ascii="Garamond" w:hAnsi="Garamond"/>
          <w:sz w:val="24"/>
          <w:szCs w:val="24"/>
        </w:rPr>
        <w:t xml:space="preserve">results </w:t>
      </w:r>
      <w:r w:rsidRPr="00116D0B">
        <w:rPr>
          <w:rFonts w:ascii="Garamond" w:hAnsi="Garamond"/>
          <w:sz w:val="24"/>
          <w:szCs w:val="24"/>
        </w:rPr>
        <w:t xml:space="preserve">on the potential deprivation of women's entitlements </w:t>
      </w:r>
      <w:r w:rsidR="003E3381" w:rsidRPr="00116D0B">
        <w:rPr>
          <w:rFonts w:ascii="Garamond" w:hAnsi="Garamond"/>
          <w:sz w:val="24"/>
          <w:szCs w:val="24"/>
        </w:rPr>
        <w:t xml:space="preserve">due to non-participation in community development planning </w:t>
      </w:r>
      <w:r w:rsidRPr="00116D0B">
        <w:rPr>
          <w:rFonts w:ascii="Garamond" w:hAnsi="Garamond"/>
          <w:sz w:val="24"/>
          <w:szCs w:val="24"/>
        </w:rPr>
        <w:t>processes highlights disparities in perceptions across different wards. Responses in the "High" category vary significantly, ranging from 7.0% to 66.7%, suggesting differing levels of awareness regarding the importance of women's participation in shaping community development agendas and ensuring equitable access to resources and opportunities.</w:t>
      </w:r>
      <w:r w:rsidR="004F0EA9" w:rsidRPr="00116D0B">
        <w:rPr>
          <w:rFonts w:ascii="Garamond" w:hAnsi="Garamond"/>
          <w:sz w:val="24"/>
          <w:szCs w:val="24"/>
        </w:rPr>
        <w:t xml:space="preserve"> </w:t>
      </w:r>
    </w:p>
    <w:p w14:paraId="3D2DD8C5" w14:textId="5294C937" w:rsidR="00910502" w:rsidRPr="00116D0B" w:rsidRDefault="004F0EA9"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lastRenderedPageBreak/>
        <w:t xml:space="preserve">Overall, 51.3% of the respondents reported affirmed the deprivation of women's entitlements due to non-participation in community development planning processes indicating an improvement from the baseline where </w:t>
      </w:r>
      <w:r w:rsidR="00910502" w:rsidRPr="00116D0B">
        <w:rPr>
          <w:rFonts w:ascii="Garamond" w:hAnsi="Garamond"/>
          <w:sz w:val="24"/>
          <w:szCs w:val="24"/>
        </w:rPr>
        <w:t>only 36.1% of the respondents held similar view. This suggests that the CDP efforts to raise awareness about the significance of women's participation in community development processes have been effective, leading to a more informed and proactive approach towards gender inclusivity in community development initiatives.</w:t>
      </w:r>
    </w:p>
    <w:p w14:paraId="67496F5E" w14:textId="1EF20771" w:rsidR="00BD60C8" w:rsidRPr="00116D0B" w:rsidRDefault="00BD60C8"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t xml:space="preserve">Regarding the consideration and appreciation of women's viewpoints in CDP processes and community activities, the </w:t>
      </w:r>
      <w:r w:rsidR="003E3381" w:rsidRPr="00116D0B">
        <w:rPr>
          <w:rFonts w:ascii="Garamond" w:hAnsi="Garamond"/>
          <w:sz w:val="24"/>
          <w:szCs w:val="24"/>
        </w:rPr>
        <w:t>findings revealed slight</w:t>
      </w:r>
      <w:r w:rsidRPr="00116D0B">
        <w:rPr>
          <w:rFonts w:ascii="Garamond" w:hAnsi="Garamond"/>
          <w:sz w:val="24"/>
          <w:szCs w:val="24"/>
        </w:rPr>
        <w:t xml:space="preserve"> variations in the degree of inclusivity and recognition afforded to women's perspectives</w:t>
      </w:r>
      <w:r w:rsidR="003E3381" w:rsidRPr="00116D0B">
        <w:rPr>
          <w:rFonts w:ascii="Garamond" w:hAnsi="Garamond"/>
          <w:sz w:val="24"/>
          <w:szCs w:val="24"/>
        </w:rPr>
        <w:t xml:space="preserve"> across the various wards</w:t>
      </w:r>
      <w:r w:rsidRPr="00116D0B">
        <w:rPr>
          <w:rFonts w:ascii="Garamond" w:hAnsi="Garamond"/>
          <w:sz w:val="24"/>
          <w:szCs w:val="24"/>
        </w:rPr>
        <w:t xml:space="preserve">. </w:t>
      </w:r>
      <w:r w:rsidR="003E3381" w:rsidRPr="00116D0B">
        <w:rPr>
          <w:rFonts w:ascii="Garamond" w:hAnsi="Garamond"/>
          <w:sz w:val="24"/>
          <w:szCs w:val="24"/>
        </w:rPr>
        <w:t>Overall and generally, the findings indicates that</w:t>
      </w:r>
      <w:r w:rsidR="004F0EA9" w:rsidRPr="00116D0B">
        <w:rPr>
          <w:rFonts w:ascii="Garamond" w:hAnsi="Garamond"/>
          <w:sz w:val="24"/>
          <w:szCs w:val="24"/>
        </w:rPr>
        <w:t xml:space="preserve"> the</w:t>
      </w:r>
      <w:r w:rsidR="003E3381" w:rsidRPr="00116D0B">
        <w:rPr>
          <w:rFonts w:ascii="Garamond" w:hAnsi="Garamond"/>
          <w:sz w:val="24"/>
          <w:szCs w:val="24"/>
        </w:rPr>
        <w:t xml:space="preserve"> </w:t>
      </w:r>
      <w:r w:rsidR="004F0EA9" w:rsidRPr="00116D0B">
        <w:rPr>
          <w:rFonts w:ascii="Garamond" w:hAnsi="Garamond"/>
          <w:sz w:val="24"/>
          <w:szCs w:val="24"/>
        </w:rPr>
        <w:t>view point of women are considered and appreciated during the CDP process and in community activities after the CDP Process as reported by 71.1% of the respondents.</w:t>
      </w:r>
    </w:p>
    <w:p w14:paraId="159A83DE" w14:textId="142A1F1E" w:rsidR="00BD60C8" w:rsidRPr="00116D0B" w:rsidRDefault="00BD60C8" w:rsidP="002756B8">
      <w:pPr>
        <w:tabs>
          <w:tab w:val="left" w:pos="7310"/>
        </w:tabs>
        <w:spacing w:before="240" w:after="240" w:line="276" w:lineRule="auto"/>
        <w:jc w:val="both"/>
        <w:rPr>
          <w:rFonts w:ascii="Garamond" w:hAnsi="Garamond"/>
          <w:sz w:val="24"/>
          <w:szCs w:val="24"/>
        </w:rPr>
      </w:pPr>
      <w:r w:rsidRPr="00116D0B">
        <w:rPr>
          <w:rFonts w:ascii="Garamond" w:hAnsi="Garamond"/>
          <w:sz w:val="24"/>
          <w:szCs w:val="24"/>
        </w:rPr>
        <w:t>Lastly, the assessment of the positive changes brought about by CDP processes wit</w:t>
      </w:r>
      <w:r w:rsidR="004F0EA9" w:rsidRPr="00116D0B">
        <w:rPr>
          <w:rFonts w:ascii="Garamond" w:hAnsi="Garamond"/>
          <w:sz w:val="24"/>
          <w:szCs w:val="24"/>
        </w:rPr>
        <w:t>hin communities revealed that the significant majority of the respondents (87.5%)</w:t>
      </w:r>
      <w:r w:rsidRPr="00116D0B">
        <w:rPr>
          <w:rFonts w:ascii="Garamond" w:hAnsi="Garamond"/>
          <w:sz w:val="24"/>
          <w:szCs w:val="24"/>
        </w:rPr>
        <w:t xml:space="preserve">, </w:t>
      </w:r>
      <w:r w:rsidR="004F0EA9" w:rsidRPr="00116D0B">
        <w:rPr>
          <w:rFonts w:ascii="Garamond" w:hAnsi="Garamond"/>
          <w:sz w:val="24"/>
          <w:szCs w:val="24"/>
        </w:rPr>
        <w:t xml:space="preserve">reported that the CDP has brought about positive changes within communities. </w:t>
      </w:r>
    </w:p>
    <w:p w14:paraId="1AD9F676" w14:textId="77777777" w:rsidR="00BD60C8" w:rsidRPr="00116D0B" w:rsidRDefault="00BD60C8" w:rsidP="00BD60C8">
      <w:pPr>
        <w:tabs>
          <w:tab w:val="left" w:pos="7310"/>
        </w:tabs>
        <w:jc w:val="both"/>
        <w:rPr>
          <w:rFonts w:ascii="Garamond" w:hAnsi="Garamond"/>
          <w:sz w:val="24"/>
          <w:szCs w:val="24"/>
        </w:rPr>
      </w:pPr>
    </w:p>
    <w:p w14:paraId="47885FA7" w14:textId="38C501E0" w:rsidR="00116D0B" w:rsidRPr="00116D0B" w:rsidRDefault="00116D0B" w:rsidP="00C27173">
      <w:pPr>
        <w:pStyle w:val="Caption"/>
      </w:pPr>
      <w:bookmarkStart w:id="95" w:name="_Toc166704052"/>
      <w:r w:rsidRPr="00116D0B">
        <w:t xml:space="preserve">Table </w:t>
      </w:r>
      <w:fldSimple w:instr=" SEQ Table \* ARABIC ">
        <w:r w:rsidRPr="00116D0B">
          <w:rPr>
            <w:noProof/>
          </w:rPr>
          <w:t>29</w:t>
        </w:r>
      </w:fldSimple>
      <w:r w:rsidRPr="00116D0B">
        <w:t>: Post CDP evaluation</w:t>
      </w:r>
      <w:bookmarkEnd w:id="95"/>
    </w:p>
    <w:tbl>
      <w:tblPr>
        <w:tblW w:w="9953" w:type="dxa"/>
        <w:tblInd w:w="-450" w:type="dxa"/>
        <w:tblLook w:val="04A0" w:firstRow="1" w:lastRow="0" w:firstColumn="1" w:lastColumn="0" w:noHBand="0" w:noVBand="1"/>
      </w:tblPr>
      <w:tblGrid>
        <w:gridCol w:w="2759"/>
        <w:gridCol w:w="789"/>
        <w:gridCol w:w="790"/>
        <w:gridCol w:w="894"/>
        <w:gridCol w:w="790"/>
        <w:gridCol w:w="790"/>
        <w:gridCol w:w="824"/>
        <w:gridCol w:w="790"/>
        <w:gridCol w:w="790"/>
        <w:gridCol w:w="1034"/>
      </w:tblGrid>
      <w:tr w:rsidR="00BD60C8" w:rsidRPr="00116D0B" w14:paraId="61D75ABA" w14:textId="77777777" w:rsidTr="00842D36">
        <w:trPr>
          <w:trHeight w:val="1640"/>
        </w:trPr>
        <w:tc>
          <w:tcPr>
            <w:tcW w:w="2823" w:type="dxa"/>
            <w:tcBorders>
              <w:top w:val="nil"/>
              <w:left w:val="nil"/>
              <w:bottom w:val="nil"/>
              <w:right w:val="nil"/>
            </w:tcBorders>
            <w:shd w:val="clear" w:color="549E39" w:fill="549E39"/>
            <w:vAlign w:val="bottom"/>
            <w:hideMark/>
          </w:tcPr>
          <w:p w14:paraId="4D2E4B09" w14:textId="4F9287B9" w:rsidR="00BD60C8" w:rsidRPr="00116D0B" w:rsidRDefault="00BD60C8" w:rsidP="00BD60C8">
            <w:pPr>
              <w:widowControl/>
              <w:autoSpaceDE/>
              <w:autoSpaceDN/>
              <w:rPr>
                <w:rFonts w:ascii="Garamond" w:eastAsia="Times New Roman" w:hAnsi="Garamond" w:cs="Calibri"/>
                <w:b/>
                <w:bCs/>
                <w:color w:val="FFFFFF"/>
                <w:sz w:val="24"/>
                <w:szCs w:val="24"/>
              </w:rPr>
            </w:pPr>
          </w:p>
        </w:tc>
        <w:tc>
          <w:tcPr>
            <w:tcW w:w="718" w:type="dxa"/>
            <w:tcBorders>
              <w:top w:val="nil"/>
              <w:left w:val="nil"/>
              <w:bottom w:val="nil"/>
              <w:right w:val="nil"/>
            </w:tcBorders>
            <w:shd w:val="clear" w:color="549E39" w:fill="549E39"/>
            <w:textDirection w:val="btLr"/>
            <w:vAlign w:val="bottom"/>
            <w:hideMark/>
          </w:tcPr>
          <w:p w14:paraId="040165E6"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732" w:type="dxa"/>
            <w:tcBorders>
              <w:top w:val="nil"/>
              <w:left w:val="nil"/>
              <w:bottom w:val="nil"/>
              <w:right w:val="nil"/>
            </w:tcBorders>
            <w:shd w:val="clear" w:color="549E39" w:fill="549E39"/>
            <w:noWrap/>
            <w:textDirection w:val="btLr"/>
            <w:vAlign w:val="bottom"/>
            <w:hideMark/>
          </w:tcPr>
          <w:p w14:paraId="44AEE2ED"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911" w:type="dxa"/>
            <w:tcBorders>
              <w:top w:val="nil"/>
              <w:left w:val="nil"/>
              <w:bottom w:val="nil"/>
              <w:right w:val="nil"/>
            </w:tcBorders>
            <w:shd w:val="clear" w:color="549E39" w:fill="549E39"/>
            <w:noWrap/>
            <w:textDirection w:val="btLr"/>
            <w:vAlign w:val="bottom"/>
            <w:hideMark/>
          </w:tcPr>
          <w:p w14:paraId="044464AF"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718" w:type="dxa"/>
            <w:tcBorders>
              <w:top w:val="nil"/>
              <w:left w:val="nil"/>
              <w:bottom w:val="nil"/>
              <w:right w:val="nil"/>
            </w:tcBorders>
            <w:shd w:val="clear" w:color="549E39" w:fill="549E39"/>
            <w:textDirection w:val="btLr"/>
            <w:vAlign w:val="bottom"/>
            <w:hideMark/>
          </w:tcPr>
          <w:p w14:paraId="4ED74518"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718" w:type="dxa"/>
            <w:tcBorders>
              <w:top w:val="nil"/>
              <w:left w:val="nil"/>
              <w:bottom w:val="nil"/>
              <w:right w:val="nil"/>
            </w:tcBorders>
            <w:shd w:val="clear" w:color="549E39" w:fill="549E39"/>
            <w:noWrap/>
            <w:textDirection w:val="btLr"/>
            <w:vAlign w:val="bottom"/>
            <w:hideMark/>
          </w:tcPr>
          <w:p w14:paraId="33829A69"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839" w:type="dxa"/>
            <w:tcBorders>
              <w:top w:val="nil"/>
              <w:left w:val="nil"/>
              <w:bottom w:val="nil"/>
              <w:right w:val="nil"/>
            </w:tcBorders>
            <w:shd w:val="clear" w:color="549E39" w:fill="549E39"/>
            <w:textDirection w:val="btLr"/>
            <w:vAlign w:val="bottom"/>
            <w:hideMark/>
          </w:tcPr>
          <w:p w14:paraId="346A8F2D"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718" w:type="dxa"/>
            <w:tcBorders>
              <w:top w:val="nil"/>
              <w:left w:val="nil"/>
              <w:bottom w:val="nil"/>
              <w:right w:val="nil"/>
            </w:tcBorders>
            <w:shd w:val="clear" w:color="549E39" w:fill="549E39"/>
            <w:textDirection w:val="btLr"/>
            <w:vAlign w:val="bottom"/>
            <w:hideMark/>
          </w:tcPr>
          <w:p w14:paraId="770393CD"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718" w:type="dxa"/>
            <w:tcBorders>
              <w:top w:val="nil"/>
              <w:left w:val="nil"/>
              <w:bottom w:val="nil"/>
              <w:right w:val="nil"/>
            </w:tcBorders>
            <w:shd w:val="clear" w:color="549E39" w:fill="549E39"/>
            <w:textDirection w:val="btLr"/>
            <w:vAlign w:val="bottom"/>
            <w:hideMark/>
          </w:tcPr>
          <w:p w14:paraId="5F4A133C" w14:textId="77777777" w:rsidR="00BD60C8" w:rsidRPr="00116D0B" w:rsidRDefault="00BD60C8" w:rsidP="00BD60C8">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1054" w:type="dxa"/>
            <w:tcBorders>
              <w:top w:val="nil"/>
              <w:left w:val="nil"/>
              <w:bottom w:val="nil"/>
              <w:right w:val="nil"/>
            </w:tcBorders>
            <w:shd w:val="clear" w:color="549E39" w:fill="549E39"/>
            <w:noWrap/>
            <w:vAlign w:val="bottom"/>
            <w:hideMark/>
          </w:tcPr>
          <w:p w14:paraId="37D0D710" w14:textId="5B0EEE92" w:rsidR="00BD60C8" w:rsidRPr="00116D0B" w:rsidRDefault="00BD60C8" w:rsidP="00BD60C8">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Total</w:t>
            </w:r>
          </w:p>
        </w:tc>
      </w:tr>
      <w:tr w:rsidR="00BD60C8" w:rsidRPr="00116D0B" w14:paraId="063EE7EF" w14:textId="77777777" w:rsidTr="00842D36">
        <w:trPr>
          <w:trHeight w:val="563"/>
        </w:trPr>
        <w:tc>
          <w:tcPr>
            <w:tcW w:w="9953" w:type="dxa"/>
            <w:gridSpan w:val="10"/>
            <w:tcBorders>
              <w:top w:val="single" w:sz="8" w:space="0" w:color="549E39"/>
              <w:left w:val="nil"/>
              <w:bottom w:val="nil"/>
              <w:right w:val="nil"/>
            </w:tcBorders>
            <w:vAlign w:val="bottom"/>
            <w:hideMark/>
          </w:tcPr>
          <w:p w14:paraId="34E9BE86" w14:textId="77777777" w:rsidR="00BD60C8" w:rsidRPr="00116D0B" w:rsidRDefault="00BD60C8" w:rsidP="00BD60C8">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To what extent has your participation in CDP Session positively changed your perception and involvement in the development of your community?</w:t>
            </w:r>
          </w:p>
        </w:tc>
      </w:tr>
      <w:tr w:rsidR="00BD60C8" w:rsidRPr="00116D0B" w14:paraId="4550E216" w14:textId="77777777" w:rsidTr="00842D36">
        <w:trPr>
          <w:trHeight w:val="281"/>
        </w:trPr>
        <w:tc>
          <w:tcPr>
            <w:tcW w:w="2823" w:type="dxa"/>
            <w:tcBorders>
              <w:top w:val="nil"/>
              <w:left w:val="nil"/>
              <w:bottom w:val="nil"/>
              <w:right w:val="nil"/>
            </w:tcBorders>
            <w:noWrap/>
            <w:vAlign w:val="bottom"/>
            <w:hideMark/>
          </w:tcPr>
          <w:p w14:paraId="365479B7"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high</w:t>
            </w:r>
          </w:p>
        </w:tc>
        <w:tc>
          <w:tcPr>
            <w:tcW w:w="718" w:type="dxa"/>
            <w:tcBorders>
              <w:top w:val="nil"/>
              <w:left w:val="single" w:sz="4" w:space="0" w:color="93D07B"/>
              <w:bottom w:val="nil"/>
              <w:right w:val="single" w:sz="4" w:space="0" w:color="93D07B"/>
            </w:tcBorders>
            <w:noWrap/>
            <w:vAlign w:val="bottom"/>
            <w:hideMark/>
          </w:tcPr>
          <w:p w14:paraId="61CE3CA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58.1%</w:t>
            </w:r>
          </w:p>
        </w:tc>
        <w:tc>
          <w:tcPr>
            <w:tcW w:w="732" w:type="dxa"/>
            <w:tcBorders>
              <w:top w:val="nil"/>
              <w:left w:val="nil"/>
              <w:bottom w:val="nil"/>
              <w:right w:val="nil"/>
            </w:tcBorders>
            <w:noWrap/>
            <w:vAlign w:val="bottom"/>
            <w:hideMark/>
          </w:tcPr>
          <w:p w14:paraId="3FFA482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17.1%</w:t>
            </w:r>
          </w:p>
        </w:tc>
        <w:tc>
          <w:tcPr>
            <w:tcW w:w="911" w:type="dxa"/>
            <w:tcBorders>
              <w:top w:val="nil"/>
              <w:left w:val="single" w:sz="4" w:space="0" w:color="93D07B"/>
              <w:bottom w:val="nil"/>
              <w:right w:val="single" w:sz="4" w:space="0" w:color="93D07B"/>
            </w:tcBorders>
            <w:noWrap/>
            <w:vAlign w:val="bottom"/>
            <w:hideMark/>
          </w:tcPr>
          <w:p w14:paraId="7FAE1C4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50.9%</w:t>
            </w:r>
          </w:p>
        </w:tc>
        <w:tc>
          <w:tcPr>
            <w:tcW w:w="718" w:type="dxa"/>
            <w:tcBorders>
              <w:top w:val="nil"/>
              <w:left w:val="nil"/>
              <w:bottom w:val="nil"/>
              <w:right w:val="nil"/>
            </w:tcBorders>
            <w:noWrap/>
            <w:vAlign w:val="bottom"/>
            <w:hideMark/>
          </w:tcPr>
          <w:p w14:paraId="558017D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65.1%</w:t>
            </w:r>
          </w:p>
        </w:tc>
        <w:tc>
          <w:tcPr>
            <w:tcW w:w="718" w:type="dxa"/>
            <w:tcBorders>
              <w:top w:val="nil"/>
              <w:left w:val="single" w:sz="4" w:space="0" w:color="93D07B"/>
              <w:bottom w:val="nil"/>
              <w:right w:val="single" w:sz="4" w:space="0" w:color="93D07B"/>
            </w:tcBorders>
            <w:noWrap/>
            <w:vAlign w:val="bottom"/>
            <w:hideMark/>
          </w:tcPr>
          <w:p w14:paraId="2E1FDF7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36.4%</w:t>
            </w:r>
          </w:p>
        </w:tc>
        <w:tc>
          <w:tcPr>
            <w:tcW w:w="839" w:type="dxa"/>
            <w:tcBorders>
              <w:top w:val="nil"/>
              <w:left w:val="nil"/>
              <w:bottom w:val="nil"/>
              <w:right w:val="nil"/>
            </w:tcBorders>
            <w:noWrap/>
            <w:vAlign w:val="bottom"/>
            <w:hideMark/>
          </w:tcPr>
          <w:p w14:paraId="17CB8BF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69.8%</w:t>
            </w:r>
          </w:p>
        </w:tc>
        <w:tc>
          <w:tcPr>
            <w:tcW w:w="718" w:type="dxa"/>
            <w:tcBorders>
              <w:top w:val="nil"/>
              <w:left w:val="single" w:sz="4" w:space="0" w:color="93D07B"/>
              <w:bottom w:val="nil"/>
              <w:right w:val="single" w:sz="4" w:space="0" w:color="93D07B"/>
            </w:tcBorders>
            <w:noWrap/>
            <w:vAlign w:val="bottom"/>
            <w:hideMark/>
          </w:tcPr>
          <w:p w14:paraId="76C5C9D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37.6%</w:t>
            </w:r>
          </w:p>
        </w:tc>
        <w:tc>
          <w:tcPr>
            <w:tcW w:w="718" w:type="dxa"/>
            <w:tcBorders>
              <w:top w:val="nil"/>
              <w:left w:val="nil"/>
              <w:bottom w:val="nil"/>
              <w:right w:val="nil"/>
            </w:tcBorders>
            <w:noWrap/>
            <w:vAlign w:val="bottom"/>
            <w:hideMark/>
          </w:tcPr>
          <w:p w14:paraId="1CDC222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26.7%</w:t>
            </w:r>
          </w:p>
        </w:tc>
        <w:tc>
          <w:tcPr>
            <w:tcW w:w="1054" w:type="dxa"/>
            <w:tcBorders>
              <w:top w:val="nil"/>
              <w:left w:val="single" w:sz="4" w:space="0" w:color="93D07B"/>
              <w:bottom w:val="nil"/>
              <w:right w:val="single" w:sz="4" w:space="0" w:color="93D07B"/>
            </w:tcBorders>
            <w:noWrap/>
            <w:vAlign w:val="bottom"/>
            <w:hideMark/>
          </w:tcPr>
          <w:p w14:paraId="44171A1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44.3%</w:t>
            </w:r>
          </w:p>
        </w:tc>
      </w:tr>
      <w:tr w:rsidR="00BD60C8" w:rsidRPr="00116D0B" w14:paraId="68BBE9F6" w14:textId="77777777" w:rsidTr="00842D36">
        <w:trPr>
          <w:trHeight w:val="281"/>
        </w:trPr>
        <w:tc>
          <w:tcPr>
            <w:tcW w:w="2823" w:type="dxa"/>
            <w:tcBorders>
              <w:top w:val="nil"/>
              <w:left w:val="nil"/>
              <w:bottom w:val="nil"/>
              <w:right w:val="nil"/>
            </w:tcBorders>
            <w:noWrap/>
            <w:vAlign w:val="bottom"/>
            <w:hideMark/>
          </w:tcPr>
          <w:p w14:paraId="4AFE37E3"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High</w:t>
            </w:r>
          </w:p>
        </w:tc>
        <w:tc>
          <w:tcPr>
            <w:tcW w:w="718" w:type="dxa"/>
            <w:tcBorders>
              <w:top w:val="nil"/>
              <w:left w:val="single" w:sz="4" w:space="0" w:color="93D07B"/>
              <w:bottom w:val="nil"/>
              <w:right w:val="single" w:sz="4" w:space="0" w:color="93D07B"/>
            </w:tcBorders>
            <w:noWrap/>
            <w:vAlign w:val="bottom"/>
            <w:hideMark/>
          </w:tcPr>
          <w:p w14:paraId="15B2EDC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32.6%</w:t>
            </w:r>
          </w:p>
        </w:tc>
        <w:tc>
          <w:tcPr>
            <w:tcW w:w="732" w:type="dxa"/>
            <w:tcBorders>
              <w:top w:val="nil"/>
              <w:left w:val="nil"/>
              <w:bottom w:val="nil"/>
              <w:right w:val="nil"/>
            </w:tcBorders>
            <w:noWrap/>
            <w:vAlign w:val="bottom"/>
            <w:hideMark/>
          </w:tcPr>
          <w:p w14:paraId="0C5813B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53.7%</w:t>
            </w:r>
          </w:p>
        </w:tc>
        <w:tc>
          <w:tcPr>
            <w:tcW w:w="911" w:type="dxa"/>
            <w:tcBorders>
              <w:top w:val="nil"/>
              <w:left w:val="single" w:sz="4" w:space="0" w:color="93D07B"/>
              <w:bottom w:val="nil"/>
              <w:right w:val="single" w:sz="4" w:space="0" w:color="93D07B"/>
            </w:tcBorders>
            <w:noWrap/>
            <w:vAlign w:val="bottom"/>
            <w:hideMark/>
          </w:tcPr>
          <w:p w14:paraId="29F8AD4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38.2%</w:t>
            </w:r>
          </w:p>
        </w:tc>
        <w:tc>
          <w:tcPr>
            <w:tcW w:w="718" w:type="dxa"/>
            <w:tcBorders>
              <w:top w:val="nil"/>
              <w:left w:val="nil"/>
              <w:bottom w:val="nil"/>
              <w:right w:val="nil"/>
            </w:tcBorders>
            <w:noWrap/>
            <w:vAlign w:val="bottom"/>
            <w:hideMark/>
          </w:tcPr>
          <w:p w14:paraId="441BF17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32.6%</w:t>
            </w:r>
          </w:p>
        </w:tc>
        <w:tc>
          <w:tcPr>
            <w:tcW w:w="718" w:type="dxa"/>
            <w:tcBorders>
              <w:top w:val="nil"/>
              <w:left w:val="single" w:sz="4" w:space="0" w:color="93D07B"/>
              <w:bottom w:val="nil"/>
              <w:right w:val="single" w:sz="4" w:space="0" w:color="93D07B"/>
            </w:tcBorders>
            <w:noWrap/>
            <w:vAlign w:val="bottom"/>
            <w:hideMark/>
          </w:tcPr>
          <w:p w14:paraId="7F0BC51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59.1%</w:t>
            </w:r>
          </w:p>
        </w:tc>
        <w:tc>
          <w:tcPr>
            <w:tcW w:w="839" w:type="dxa"/>
            <w:tcBorders>
              <w:top w:val="nil"/>
              <w:left w:val="nil"/>
              <w:bottom w:val="nil"/>
              <w:right w:val="nil"/>
            </w:tcBorders>
            <w:noWrap/>
            <w:vAlign w:val="bottom"/>
            <w:hideMark/>
          </w:tcPr>
          <w:p w14:paraId="0195C3A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18" w:type="dxa"/>
            <w:tcBorders>
              <w:top w:val="nil"/>
              <w:left w:val="single" w:sz="4" w:space="0" w:color="93D07B"/>
              <w:bottom w:val="nil"/>
              <w:right w:val="single" w:sz="4" w:space="0" w:color="93D07B"/>
            </w:tcBorders>
            <w:noWrap/>
            <w:vAlign w:val="bottom"/>
            <w:hideMark/>
          </w:tcPr>
          <w:p w14:paraId="69808B1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42.6%</w:t>
            </w:r>
          </w:p>
        </w:tc>
        <w:tc>
          <w:tcPr>
            <w:tcW w:w="718" w:type="dxa"/>
            <w:tcBorders>
              <w:top w:val="nil"/>
              <w:left w:val="nil"/>
              <w:bottom w:val="nil"/>
              <w:right w:val="nil"/>
            </w:tcBorders>
            <w:noWrap/>
            <w:vAlign w:val="bottom"/>
            <w:hideMark/>
          </w:tcPr>
          <w:p w14:paraId="03655AB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48.9%</w:t>
            </w:r>
          </w:p>
        </w:tc>
        <w:tc>
          <w:tcPr>
            <w:tcW w:w="1054" w:type="dxa"/>
            <w:tcBorders>
              <w:top w:val="nil"/>
              <w:left w:val="single" w:sz="4" w:space="0" w:color="93D07B"/>
              <w:bottom w:val="nil"/>
              <w:right w:val="single" w:sz="4" w:space="0" w:color="93D07B"/>
            </w:tcBorders>
            <w:noWrap/>
            <w:vAlign w:val="bottom"/>
            <w:hideMark/>
          </w:tcPr>
          <w:p w14:paraId="6254C2A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40.5%</w:t>
            </w:r>
          </w:p>
        </w:tc>
      </w:tr>
      <w:tr w:rsidR="00BD60C8" w:rsidRPr="00116D0B" w14:paraId="362CD3AE" w14:textId="77777777" w:rsidTr="00842D36">
        <w:trPr>
          <w:trHeight w:val="291"/>
        </w:trPr>
        <w:tc>
          <w:tcPr>
            <w:tcW w:w="2823" w:type="dxa"/>
            <w:tcBorders>
              <w:top w:val="nil"/>
              <w:left w:val="nil"/>
              <w:bottom w:val="nil"/>
              <w:right w:val="nil"/>
            </w:tcBorders>
            <w:noWrap/>
            <w:vAlign w:val="bottom"/>
            <w:hideMark/>
          </w:tcPr>
          <w:p w14:paraId="0C0B8126"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Medium</w:t>
            </w:r>
          </w:p>
        </w:tc>
        <w:tc>
          <w:tcPr>
            <w:tcW w:w="718" w:type="dxa"/>
            <w:tcBorders>
              <w:top w:val="nil"/>
              <w:left w:val="single" w:sz="4" w:space="0" w:color="93D07B"/>
              <w:bottom w:val="nil"/>
              <w:right w:val="single" w:sz="4" w:space="0" w:color="93D07B"/>
            </w:tcBorders>
            <w:noWrap/>
            <w:vAlign w:val="bottom"/>
            <w:hideMark/>
          </w:tcPr>
          <w:p w14:paraId="30664F2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9.3%</w:t>
            </w:r>
          </w:p>
        </w:tc>
        <w:tc>
          <w:tcPr>
            <w:tcW w:w="732" w:type="dxa"/>
            <w:tcBorders>
              <w:top w:val="nil"/>
              <w:left w:val="nil"/>
              <w:bottom w:val="nil"/>
              <w:right w:val="nil"/>
            </w:tcBorders>
            <w:noWrap/>
            <w:vAlign w:val="bottom"/>
            <w:hideMark/>
          </w:tcPr>
          <w:p w14:paraId="5FF7FF9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26.8%</w:t>
            </w:r>
          </w:p>
        </w:tc>
        <w:tc>
          <w:tcPr>
            <w:tcW w:w="911" w:type="dxa"/>
            <w:tcBorders>
              <w:top w:val="nil"/>
              <w:left w:val="single" w:sz="4" w:space="0" w:color="93D07B"/>
              <w:bottom w:val="nil"/>
              <w:right w:val="single" w:sz="4" w:space="0" w:color="93D07B"/>
            </w:tcBorders>
            <w:noWrap/>
            <w:vAlign w:val="bottom"/>
            <w:hideMark/>
          </w:tcPr>
          <w:p w14:paraId="4814E49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10.9%</w:t>
            </w:r>
          </w:p>
        </w:tc>
        <w:tc>
          <w:tcPr>
            <w:tcW w:w="718" w:type="dxa"/>
            <w:tcBorders>
              <w:top w:val="nil"/>
              <w:left w:val="nil"/>
              <w:bottom w:val="nil"/>
              <w:right w:val="nil"/>
            </w:tcBorders>
            <w:noWrap/>
            <w:vAlign w:val="bottom"/>
            <w:hideMark/>
          </w:tcPr>
          <w:p w14:paraId="6492A9E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18" w:type="dxa"/>
            <w:tcBorders>
              <w:top w:val="nil"/>
              <w:left w:val="single" w:sz="4" w:space="0" w:color="93D07B"/>
              <w:bottom w:val="nil"/>
              <w:right w:val="single" w:sz="4" w:space="0" w:color="93D07B"/>
            </w:tcBorders>
            <w:noWrap/>
            <w:vAlign w:val="bottom"/>
            <w:hideMark/>
          </w:tcPr>
          <w:p w14:paraId="698C16F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839" w:type="dxa"/>
            <w:tcBorders>
              <w:top w:val="nil"/>
              <w:left w:val="nil"/>
              <w:bottom w:val="nil"/>
              <w:right w:val="nil"/>
            </w:tcBorders>
            <w:noWrap/>
            <w:vAlign w:val="bottom"/>
            <w:hideMark/>
          </w:tcPr>
          <w:p w14:paraId="3E59259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18" w:type="dxa"/>
            <w:tcBorders>
              <w:top w:val="nil"/>
              <w:left w:val="single" w:sz="4" w:space="0" w:color="93D07B"/>
              <w:bottom w:val="nil"/>
              <w:right w:val="single" w:sz="4" w:space="0" w:color="93D07B"/>
            </w:tcBorders>
            <w:noWrap/>
            <w:vAlign w:val="bottom"/>
            <w:hideMark/>
          </w:tcPr>
          <w:p w14:paraId="7D031BD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16.8%</w:t>
            </w:r>
          </w:p>
        </w:tc>
        <w:tc>
          <w:tcPr>
            <w:tcW w:w="718" w:type="dxa"/>
            <w:tcBorders>
              <w:top w:val="nil"/>
              <w:left w:val="nil"/>
              <w:bottom w:val="nil"/>
              <w:right w:val="nil"/>
            </w:tcBorders>
            <w:noWrap/>
            <w:vAlign w:val="bottom"/>
            <w:hideMark/>
          </w:tcPr>
          <w:p w14:paraId="7B50041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24.4%</w:t>
            </w:r>
          </w:p>
        </w:tc>
        <w:tc>
          <w:tcPr>
            <w:tcW w:w="1054" w:type="dxa"/>
            <w:tcBorders>
              <w:top w:val="nil"/>
              <w:left w:val="single" w:sz="4" w:space="0" w:color="93D07B"/>
              <w:bottom w:val="nil"/>
              <w:right w:val="single" w:sz="4" w:space="0" w:color="93D07B"/>
            </w:tcBorders>
            <w:noWrap/>
            <w:vAlign w:val="bottom"/>
            <w:hideMark/>
          </w:tcPr>
          <w:p w14:paraId="47B998E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r>
      <w:tr w:rsidR="00BD60C8" w:rsidRPr="00116D0B" w14:paraId="3C170945" w14:textId="77777777" w:rsidTr="00842D36">
        <w:trPr>
          <w:trHeight w:val="553"/>
        </w:trPr>
        <w:tc>
          <w:tcPr>
            <w:tcW w:w="2823" w:type="dxa"/>
            <w:tcBorders>
              <w:top w:val="nil"/>
              <w:left w:val="nil"/>
              <w:bottom w:val="single" w:sz="8" w:space="0" w:color="549E39"/>
              <w:right w:val="nil"/>
            </w:tcBorders>
            <w:noWrap/>
            <w:vAlign w:val="bottom"/>
            <w:hideMark/>
          </w:tcPr>
          <w:p w14:paraId="70C17F4B"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Low</w:t>
            </w:r>
          </w:p>
        </w:tc>
        <w:tc>
          <w:tcPr>
            <w:tcW w:w="718" w:type="dxa"/>
            <w:tcBorders>
              <w:top w:val="nil"/>
              <w:left w:val="single" w:sz="4" w:space="0" w:color="93D07B"/>
              <w:bottom w:val="single" w:sz="8" w:space="0" w:color="549E39"/>
              <w:right w:val="single" w:sz="4" w:space="0" w:color="93D07B"/>
            </w:tcBorders>
            <w:noWrap/>
            <w:vAlign w:val="bottom"/>
            <w:hideMark/>
          </w:tcPr>
          <w:p w14:paraId="4A3D4C3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32" w:type="dxa"/>
            <w:tcBorders>
              <w:top w:val="nil"/>
              <w:left w:val="nil"/>
              <w:bottom w:val="single" w:sz="8" w:space="0" w:color="549E39"/>
              <w:right w:val="nil"/>
            </w:tcBorders>
            <w:noWrap/>
            <w:vAlign w:val="bottom"/>
            <w:hideMark/>
          </w:tcPr>
          <w:p w14:paraId="2CA1D07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w:t>
            </w:r>
          </w:p>
        </w:tc>
        <w:tc>
          <w:tcPr>
            <w:tcW w:w="911" w:type="dxa"/>
            <w:tcBorders>
              <w:top w:val="nil"/>
              <w:left w:val="single" w:sz="4" w:space="0" w:color="93D07B"/>
              <w:bottom w:val="single" w:sz="8" w:space="0" w:color="549E39"/>
              <w:right w:val="single" w:sz="4" w:space="0" w:color="93D07B"/>
            </w:tcBorders>
            <w:noWrap/>
            <w:vAlign w:val="bottom"/>
            <w:hideMark/>
          </w:tcPr>
          <w:p w14:paraId="56C65F8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nil"/>
              <w:bottom w:val="single" w:sz="8" w:space="0" w:color="549E39"/>
              <w:right w:val="nil"/>
            </w:tcBorders>
            <w:noWrap/>
            <w:vAlign w:val="bottom"/>
            <w:hideMark/>
          </w:tcPr>
          <w:p w14:paraId="134CC8F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03C77C2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39" w:type="dxa"/>
            <w:tcBorders>
              <w:top w:val="nil"/>
              <w:left w:val="nil"/>
              <w:bottom w:val="single" w:sz="8" w:space="0" w:color="549E39"/>
              <w:right w:val="nil"/>
            </w:tcBorders>
            <w:noWrap/>
            <w:vAlign w:val="bottom"/>
            <w:hideMark/>
          </w:tcPr>
          <w:p w14:paraId="16F2FA1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18" w:type="dxa"/>
            <w:tcBorders>
              <w:top w:val="nil"/>
              <w:left w:val="single" w:sz="4" w:space="0" w:color="93D07B"/>
              <w:bottom w:val="single" w:sz="8" w:space="0" w:color="549E39"/>
              <w:right w:val="single" w:sz="4" w:space="0" w:color="93D07B"/>
            </w:tcBorders>
            <w:noWrap/>
            <w:vAlign w:val="bottom"/>
            <w:hideMark/>
          </w:tcPr>
          <w:p w14:paraId="02717CA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w:t>
            </w:r>
          </w:p>
        </w:tc>
        <w:tc>
          <w:tcPr>
            <w:tcW w:w="718" w:type="dxa"/>
            <w:tcBorders>
              <w:top w:val="nil"/>
              <w:left w:val="nil"/>
              <w:bottom w:val="single" w:sz="8" w:space="0" w:color="549E39"/>
              <w:right w:val="nil"/>
            </w:tcBorders>
            <w:noWrap/>
            <w:vAlign w:val="bottom"/>
            <w:hideMark/>
          </w:tcPr>
          <w:p w14:paraId="56C8F2C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54" w:type="dxa"/>
            <w:tcBorders>
              <w:top w:val="nil"/>
              <w:left w:val="single" w:sz="4" w:space="0" w:color="93D07B"/>
              <w:bottom w:val="single" w:sz="8" w:space="0" w:color="549E39"/>
              <w:right w:val="single" w:sz="4" w:space="0" w:color="93D07B"/>
            </w:tcBorders>
            <w:noWrap/>
            <w:vAlign w:val="bottom"/>
            <w:hideMark/>
          </w:tcPr>
          <w:p w14:paraId="7615C44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r>
      <w:tr w:rsidR="00BD60C8" w:rsidRPr="00116D0B" w14:paraId="587E6600" w14:textId="77777777" w:rsidTr="00842D36">
        <w:trPr>
          <w:trHeight w:val="281"/>
        </w:trPr>
        <w:tc>
          <w:tcPr>
            <w:tcW w:w="6622" w:type="dxa"/>
            <w:gridSpan w:val="6"/>
            <w:tcBorders>
              <w:top w:val="nil"/>
              <w:left w:val="nil"/>
              <w:bottom w:val="nil"/>
              <w:right w:val="nil"/>
            </w:tcBorders>
            <w:noWrap/>
            <w:vAlign w:val="bottom"/>
            <w:hideMark/>
          </w:tcPr>
          <w:p w14:paraId="5ACB681E" w14:textId="77777777" w:rsidR="00BD60C8" w:rsidRPr="00116D0B" w:rsidRDefault="00BD60C8" w:rsidP="00BD60C8">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How would you rate the level of women’s participation in the CDP Session?</w:t>
            </w:r>
          </w:p>
        </w:tc>
        <w:tc>
          <w:tcPr>
            <w:tcW w:w="839" w:type="dxa"/>
            <w:tcBorders>
              <w:top w:val="nil"/>
              <w:left w:val="nil"/>
              <w:bottom w:val="nil"/>
              <w:right w:val="nil"/>
            </w:tcBorders>
            <w:noWrap/>
            <w:vAlign w:val="bottom"/>
            <w:hideMark/>
          </w:tcPr>
          <w:p w14:paraId="48662EC0" w14:textId="77777777" w:rsidR="00BD60C8" w:rsidRPr="00116D0B" w:rsidRDefault="00BD60C8" w:rsidP="00BD60C8">
            <w:pPr>
              <w:widowControl/>
              <w:autoSpaceDE/>
              <w:autoSpaceDN/>
              <w:rPr>
                <w:rFonts w:ascii="Garamond" w:eastAsia="Times New Roman" w:hAnsi="Garamond" w:cs="Calibri"/>
                <w:b/>
                <w:bCs/>
                <w:color w:val="000000"/>
                <w:sz w:val="24"/>
                <w:szCs w:val="24"/>
              </w:rPr>
            </w:pPr>
          </w:p>
        </w:tc>
        <w:tc>
          <w:tcPr>
            <w:tcW w:w="718" w:type="dxa"/>
            <w:tcBorders>
              <w:top w:val="nil"/>
              <w:left w:val="nil"/>
              <w:bottom w:val="nil"/>
              <w:right w:val="nil"/>
            </w:tcBorders>
            <w:noWrap/>
            <w:vAlign w:val="bottom"/>
            <w:hideMark/>
          </w:tcPr>
          <w:p w14:paraId="131C4C27" w14:textId="77777777" w:rsidR="00BD60C8" w:rsidRPr="00116D0B" w:rsidRDefault="00BD60C8" w:rsidP="00BD60C8">
            <w:pPr>
              <w:widowControl/>
              <w:autoSpaceDE/>
              <w:autoSpaceDN/>
              <w:rPr>
                <w:rFonts w:ascii="Garamond" w:eastAsia="Times New Roman" w:hAnsi="Garamond" w:cs="Times New Roman"/>
                <w:sz w:val="24"/>
                <w:szCs w:val="24"/>
              </w:rPr>
            </w:pPr>
          </w:p>
        </w:tc>
        <w:tc>
          <w:tcPr>
            <w:tcW w:w="718" w:type="dxa"/>
            <w:tcBorders>
              <w:top w:val="nil"/>
              <w:left w:val="nil"/>
              <w:bottom w:val="nil"/>
              <w:right w:val="nil"/>
            </w:tcBorders>
            <w:noWrap/>
            <w:vAlign w:val="bottom"/>
            <w:hideMark/>
          </w:tcPr>
          <w:p w14:paraId="3FA223D3" w14:textId="77777777" w:rsidR="00BD60C8" w:rsidRPr="00116D0B" w:rsidRDefault="00BD60C8" w:rsidP="00BD60C8">
            <w:pPr>
              <w:widowControl/>
              <w:autoSpaceDE/>
              <w:autoSpaceDN/>
              <w:rPr>
                <w:rFonts w:ascii="Garamond" w:eastAsia="Times New Roman" w:hAnsi="Garamond" w:cs="Times New Roman"/>
                <w:sz w:val="24"/>
                <w:szCs w:val="24"/>
              </w:rPr>
            </w:pPr>
          </w:p>
        </w:tc>
        <w:tc>
          <w:tcPr>
            <w:tcW w:w="1054" w:type="dxa"/>
            <w:tcBorders>
              <w:top w:val="nil"/>
              <w:left w:val="nil"/>
              <w:bottom w:val="nil"/>
              <w:right w:val="nil"/>
            </w:tcBorders>
            <w:noWrap/>
            <w:vAlign w:val="bottom"/>
            <w:hideMark/>
          </w:tcPr>
          <w:p w14:paraId="4A451D35" w14:textId="77777777" w:rsidR="00BD60C8" w:rsidRPr="00116D0B" w:rsidRDefault="00BD60C8" w:rsidP="00BD60C8">
            <w:pPr>
              <w:widowControl/>
              <w:autoSpaceDE/>
              <w:autoSpaceDN/>
              <w:rPr>
                <w:rFonts w:ascii="Garamond" w:eastAsia="Times New Roman" w:hAnsi="Garamond" w:cs="Times New Roman"/>
                <w:sz w:val="24"/>
                <w:szCs w:val="24"/>
              </w:rPr>
            </w:pPr>
          </w:p>
        </w:tc>
      </w:tr>
      <w:tr w:rsidR="00BD60C8" w:rsidRPr="00116D0B" w14:paraId="0043EDA7" w14:textId="77777777" w:rsidTr="00842D36">
        <w:trPr>
          <w:trHeight w:val="281"/>
        </w:trPr>
        <w:tc>
          <w:tcPr>
            <w:tcW w:w="2823" w:type="dxa"/>
            <w:tcBorders>
              <w:top w:val="nil"/>
              <w:left w:val="nil"/>
              <w:bottom w:val="nil"/>
              <w:right w:val="nil"/>
            </w:tcBorders>
            <w:noWrap/>
            <w:vAlign w:val="bottom"/>
            <w:hideMark/>
          </w:tcPr>
          <w:p w14:paraId="041BEF7C"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high</w:t>
            </w:r>
          </w:p>
        </w:tc>
        <w:tc>
          <w:tcPr>
            <w:tcW w:w="718" w:type="dxa"/>
            <w:tcBorders>
              <w:top w:val="nil"/>
              <w:left w:val="single" w:sz="4" w:space="0" w:color="93D07B"/>
              <w:bottom w:val="nil"/>
              <w:right w:val="single" w:sz="4" w:space="0" w:color="93D07B"/>
            </w:tcBorders>
            <w:noWrap/>
            <w:vAlign w:val="bottom"/>
            <w:hideMark/>
          </w:tcPr>
          <w:p w14:paraId="3EBF279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16.3%</w:t>
            </w:r>
          </w:p>
        </w:tc>
        <w:tc>
          <w:tcPr>
            <w:tcW w:w="732" w:type="dxa"/>
            <w:tcBorders>
              <w:top w:val="nil"/>
              <w:left w:val="nil"/>
              <w:bottom w:val="nil"/>
              <w:right w:val="nil"/>
            </w:tcBorders>
            <w:noWrap/>
            <w:vAlign w:val="bottom"/>
            <w:hideMark/>
          </w:tcPr>
          <w:p w14:paraId="465E808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24.4%</w:t>
            </w:r>
          </w:p>
        </w:tc>
        <w:tc>
          <w:tcPr>
            <w:tcW w:w="911" w:type="dxa"/>
            <w:tcBorders>
              <w:top w:val="nil"/>
              <w:left w:val="single" w:sz="4" w:space="0" w:color="93D07B"/>
              <w:bottom w:val="nil"/>
              <w:right w:val="single" w:sz="4" w:space="0" w:color="93D07B"/>
            </w:tcBorders>
            <w:noWrap/>
            <w:vAlign w:val="bottom"/>
            <w:hideMark/>
          </w:tcPr>
          <w:p w14:paraId="3275AF7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67.3%</w:t>
            </w:r>
          </w:p>
        </w:tc>
        <w:tc>
          <w:tcPr>
            <w:tcW w:w="718" w:type="dxa"/>
            <w:tcBorders>
              <w:top w:val="nil"/>
              <w:left w:val="nil"/>
              <w:bottom w:val="nil"/>
              <w:right w:val="nil"/>
            </w:tcBorders>
            <w:noWrap/>
            <w:vAlign w:val="bottom"/>
            <w:hideMark/>
          </w:tcPr>
          <w:p w14:paraId="67D9E5D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16.3%</w:t>
            </w:r>
          </w:p>
        </w:tc>
        <w:tc>
          <w:tcPr>
            <w:tcW w:w="718" w:type="dxa"/>
            <w:tcBorders>
              <w:top w:val="nil"/>
              <w:left w:val="single" w:sz="4" w:space="0" w:color="93D07B"/>
              <w:bottom w:val="nil"/>
              <w:right w:val="single" w:sz="4" w:space="0" w:color="93D07B"/>
            </w:tcBorders>
            <w:noWrap/>
            <w:vAlign w:val="bottom"/>
            <w:hideMark/>
          </w:tcPr>
          <w:p w14:paraId="2D54238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22.7%</w:t>
            </w:r>
          </w:p>
        </w:tc>
        <w:tc>
          <w:tcPr>
            <w:tcW w:w="839" w:type="dxa"/>
            <w:tcBorders>
              <w:top w:val="nil"/>
              <w:left w:val="nil"/>
              <w:bottom w:val="nil"/>
              <w:right w:val="nil"/>
            </w:tcBorders>
            <w:noWrap/>
            <w:vAlign w:val="bottom"/>
            <w:hideMark/>
          </w:tcPr>
          <w:p w14:paraId="0FE2EC0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79.1%</w:t>
            </w:r>
          </w:p>
        </w:tc>
        <w:tc>
          <w:tcPr>
            <w:tcW w:w="718" w:type="dxa"/>
            <w:tcBorders>
              <w:top w:val="nil"/>
              <w:left w:val="single" w:sz="4" w:space="0" w:color="93D07B"/>
              <w:bottom w:val="nil"/>
              <w:right w:val="single" w:sz="4" w:space="0" w:color="93D07B"/>
            </w:tcBorders>
            <w:noWrap/>
            <w:vAlign w:val="bottom"/>
            <w:hideMark/>
          </w:tcPr>
          <w:p w14:paraId="0F84713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30.7%</w:t>
            </w:r>
          </w:p>
        </w:tc>
        <w:tc>
          <w:tcPr>
            <w:tcW w:w="718" w:type="dxa"/>
            <w:tcBorders>
              <w:top w:val="nil"/>
              <w:left w:val="nil"/>
              <w:bottom w:val="nil"/>
              <w:right w:val="nil"/>
            </w:tcBorders>
            <w:noWrap/>
            <w:vAlign w:val="bottom"/>
            <w:hideMark/>
          </w:tcPr>
          <w:p w14:paraId="66F78A0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w:t>
            </w:r>
          </w:p>
        </w:tc>
        <w:tc>
          <w:tcPr>
            <w:tcW w:w="1054" w:type="dxa"/>
            <w:tcBorders>
              <w:top w:val="nil"/>
              <w:left w:val="single" w:sz="4" w:space="0" w:color="93D07B"/>
              <w:bottom w:val="nil"/>
              <w:right w:val="single" w:sz="4" w:space="0" w:color="93D07B"/>
            </w:tcBorders>
            <w:noWrap/>
            <w:vAlign w:val="bottom"/>
            <w:hideMark/>
          </w:tcPr>
          <w:p w14:paraId="4176A92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33.3%</w:t>
            </w:r>
          </w:p>
        </w:tc>
      </w:tr>
      <w:tr w:rsidR="00BD60C8" w:rsidRPr="00116D0B" w14:paraId="23FAEEFF" w14:textId="77777777" w:rsidTr="00842D36">
        <w:trPr>
          <w:trHeight w:val="291"/>
        </w:trPr>
        <w:tc>
          <w:tcPr>
            <w:tcW w:w="2823" w:type="dxa"/>
            <w:tcBorders>
              <w:top w:val="nil"/>
              <w:left w:val="nil"/>
              <w:bottom w:val="nil"/>
              <w:right w:val="nil"/>
            </w:tcBorders>
            <w:noWrap/>
            <w:vAlign w:val="bottom"/>
            <w:hideMark/>
          </w:tcPr>
          <w:p w14:paraId="4900C0C9"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High</w:t>
            </w:r>
          </w:p>
        </w:tc>
        <w:tc>
          <w:tcPr>
            <w:tcW w:w="718" w:type="dxa"/>
            <w:tcBorders>
              <w:top w:val="nil"/>
              <w:left w:val="single" w:sz="4" w:space="0" w:color="93D07B"/>
              <w:bottom w:val="nil"/>
              <w:right w:val="single" w:sz="4" w:space="0" w:color="93D07B"/>
            </w:tcBorders>
            <w:noWrap/>
            <w:vAlign w:val="bottom"/>
            <w:hideMark/>
          </w:tcPr>
          <w:p w14:paraId="3CF0C3C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44.2%</w:t>
            </w:r>
          </w:p>
        </w:tc>
        <w:tc>
          <w:tcPr>
            <w:tcW w:w="732" w:type="dxa"/>
            <w:tcBorders>
              <w:top w:val="nil"/>
              <w:left w:val="nil"/>
              <w:bottom w:val="nil"/>
              <w:right w:val="nil"/>
            </w:tcBorders>
            <w:noWrap/>
            <w:vAlign w:val="bottom"/>
            <w:hideMark/>
          </w:tcPr>
          <w:p w14:paraId="7B945D1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48.8%</w:t>
            </w:r>
          </w:p>
        </w:tc>
        <w:tc>
          <w:tcPr>
            <w:tcW w:w="911" w:type="dxa"/>
            <w:tcBorders>
              <w:top w:val="nil"/>
              <w:left w:val="single" w:sz="4" w:space="0" w:color="93D07B"/>
              <w:bottom w:val="nil"/>
              <w:right w:val="single" w:sz="4" w:space="0" w:color="93D07B"/>
            </w:tcBorders>
            <w:noWrap/>
            <w:vAlign w:val="bottom"/>
            <w:hideMark/>
          </w:tcPr>
          <w:p w14:paraId="05C468D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25.5%</w:t>
            </w:r>
          </w:p>
        </w:tc>
        <w:tc>
          <w:tcPr>
            <w:tcW w:w="718" w:type="dxa"/>
            <w:tcBorders>
              <w:top w:val="nil"/>
              <w:left w:val="nil"/>
              <w:bottom w:val="nil"/>
              <w:right w:val="nil"/>
            </w:tcBorders>
            <w:noWrap/>
            <w:vAlign w:val="bottom"/>
            <w:hideMark/>
          </w:tcPr>
          <w:p w14:paraId="5AF5E09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58.1%</w:t>
            </w:r>
          </w:p>
        </w:tc>
        <w:tc>
          <w:tcPr>
            <w:tcW w:w="718" w:type="dxa"/>
            <w:tcBorders>
              <w:top w:val="nil"/>
              <w:left w:val="single" w:sz="4" w:space="0" w:color="93D07B"/>
              <w:bottom w:val="nil"/>
              <w:right w:val="single" w:sz="4" w:space="0" w:color="93D07B"/>
            </w:tcBorders>
            <w:noWrap/>
            <w:vAlign w:val="bottom"/>
            <w:hideMark/>
          </w:tcPr>
          <w:p w14:paraId="25B598F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65.9%</w:t>
            </w:r>
          </w:p>
        </w:tc>
        <w:tc>
          <w:tcPr>
            <w:tcW w:w="839" w:type="dxa"/>
            <w:tcBorders>
              <w:top w:val="nil"/>
              <w:left w:val="nil"/>
              <w:bottom w:val="nil"/>
              <w:right w:val="nil"/>
            </w:tcBorders>
            <w:noWrap/>
            <w:vAlign w:val="bottom"/>
            <w:hideMark/>
          </w:tcPr>
          <w:p w14:paraId="42BAC1C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9.3%</w:t>
            </w:r>
          </w:p>
        </w:tc>
        <w:tc>
          <w:tcPr>
            <w:tcW w:w="718" w:type="dxa"/>
            <w:tcBorders>
              <w:top w:val="nil"/>
              <w:left w:val="single" w:sz="4" w:space="0" w:color="93D07B"/>
              <w:bottom w:val="nil"/>
              <w:right w:val="single" w:sz="4" w:space="0" w:color="93D07B"/>
            </w:tcBorders>
            <w:noWrap/>
            <w:vAlign w:val="bottom"/>
            <w:hideMark/>
          </w:tcPr>
          <w:p w14:paraId="11A7EA8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44.6%</w:t>
            </w:r>
          </w:p>
        </w:tc>
        <w:tc>
          <w:tcPr>
            <w:tcW w:w="718" w:type="dxa"/>
            <w:tcBorders>
              <w:top w:val="nil"/>
              <w:left w:val="nil"/>
              <w:bottom w:val="nil"/>
              <w:right w:val="nil"/>
            </w:tcBorders>
            <w:noWrap/>
            <w:vAlign w:val="bottom"/>
            <w:hideMark/>
          </w:tcPr>
          <w:p w14:paraId="71DCCF3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64.4%</w:t>
            </w:r>
          </w:p>
        </w:tc>
        <w:tc>
          <w:tcPr>
            <w:tcW w:w="1054" w:type="dxa"/>
            <w:tcBorders>
              <w:top w:val="nil"/>
              <w:left w:val="single" w:sz="4" w:space="0" w:color="93D07B"/>
              <w:bottom w:val="nil"/>
              <w:right w:val="single" w:sz="4" w:space="0" w:color="93D07B"/>
            </w:tcBorders>
            <w:noWrap/>
            <w:vAlign w:val="bottom"/>
            <w:hideMark/>
          </w:tcPr>
          <w:p w14:paraId="3F07A96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44.6%</w:t>
            </w:r>
          </w:p>
        </w:tc>
      </w:tr>
      <w:tr w:rsidR="00BD60C8" w:rsidRPr="00116D0B" w14:paraId="1CCC20F6" w14:textId="77777777" w:rsidTr="00842D36">
        <w:trPr>
          <w:trHeight w:val="553"/>
        </w:trPr>
        <w:tc>
          <w:tcPr>
            <w:tcW w:w="2823" w:type="dxa"/>
            <w:tcBorders>
              <w:top w:val="nil"/>
              <w:left w:val="nil"/>
              <w:bottom w:val="nil"/>
              <w:right w:val="nil"/>
            </w:tcBorders>
            <w:noWrap/>
            <w:vAlign w:val="bottom"/>
            <w:hideMark/>
          </w:tcPr>
          <w:p w14:paraId="6CAF7BE9"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Medium</w:t>
            </w:r>
          </w:p>
        </w:tc>
        <w:tc>
          <w:tcPr>
            <w:tcW w:w="718" w:type="dxa"/>
            <w:tcBorders>
              <w:top w:val="nil"/>
              <w:left w:val="single" w:sz="4" w:space="0" w:color="93D07B"/>
              <w:bottom w:val="nil"/>
              <w:right w:val="single" w:sz="4" w:space="0" w:color="93D07B"/>
            </w:tcBorders>
            <w:noWrap/>
            <w:vAlign w:val="bottom"/>
            <w:hideMark/>
          </w:tcPr>
          <w:p w14:paraId="23317A3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39.5%</w:t>
            </w:r>
          </w:p>
        </w:tc>
        <w:tc>
          <w:tcPr>
            <w:tcW w:w="732" w:type="dxa"/>
            <w:tcBorders>
              <w:top w:val="nil"/>
              <w:left w:val="nil"/>
              <w:bottom w:val="nil"/>
              <w:right w:val="nil"/>
            </w:tcBorders>
            <w:noWrap/>
            <w:vAlign w:val="bottom"/>
            <w:hideMark/>
          </w:tcPr>
          <w:p w14:paraId="3C2AE22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26.8%</w:t>
            </w:r>
          </w:p>
        </w:tc>
        <w:tc>
          <w:tcPr>
            <w:tcW w:w="911" w:type="dxa"/>
            <w:tcBorders>
              <w:top w:val="nil"/>
              <w:left w:val="single" w:sz="4" w:space="0" w:color="93D07B"/>
              <w:bottom w:val="nil"/>
              <w:right w:val="single" w:sz="4" w:space="0" w:color="93D07B"/>
            </w:tcBorders>
            <w:noWrap/>
            <w:vAlign w:val="bottom"/>
            <w:hideMark/>
          </w:tcPr>
          <w:p w14:paraId="5432DF4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7.3%</w:t>
            </w:r>
          </w:p>
        </w:tc>
        <w:tc>
          <w:tcPr>
            <w:tcW w:w="718" w:type="dxa"/>
            <w:tcBorders>
              <w:top w:val="nil"/>
              <w:left w:val="nil"/>
              <w:bottom w:val="nil"/>
              <w:right w:val="nil"/>
            </w:tcBorders>
            <w:noWrap/>
            <w:vAlign w:val="bottom"/>
            <w:hideMark/>
          </w:tcPr>
          <w:p w14:paraId="3EABF92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25.6%</w:t>
            </w:r>
          </w:p>
        </w:tc>
        <w:tc>
          <w:tcPr>
            <w:tcW w:w="718" w:type="dxa"/>
            <w:tcBorders>
              <w:top w:val="nil"/>
              <w:left w:val="single" w:sz="4" w:space="0" w:color="93D07B"/>
              <w:bottom w:val="nil"/>
              <w:right w:val="single" w:sz="4" w:space="0" w:color="93D07B"/>
            </w:tcBorders>
            <w:noWrap/>
            <w:vAlign w:val="bottom"/>
            <w:hideMark/>
          </w:tcPr>
          <w:p w14:paraId="6682825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11.4%</w:t>
            </w:r>
          </w:p>
        </w:tc>
        <w:tc>
          <w:tcPr>
            <w:tcW w:w="839" w:type="dxa"/>
            <w:tcBorders>
              <w:top w:val="nil"/>
              <w:left w:val="nil"/>
              <w:bottom w:val="nil"/>
              <w:right w:val="nil"/>
            </w:tcBorders>
            <w:noWrap/>
            <w:vAlign w:val="bottom"/>
            <w:hideMark/>
          </w:tcPr>
          <w:p w14:paraId="37CF4BC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9.3%</w:t>
            </w:r>
          </w:p>
        </w:tc>
        <w:tc>
          <w:tcPr>
            <w:tcW w:w="718" w:type="dxa"/>
            <w:tcBorders>
              <w:top w:val="nil"/>
              <w:left w:val="single" w:sz="4" w:space="0" w:color="93D07B"/>
              <w:bottom w:val="nil"/>
              <w:right w:val="single" w:sz="4" w:space="0" w:color="93D07B"/>
            </w:tcBorders>
            <w:noWrap/>
            <w:vAlign w:val="bottom"/>
            <w:hideMark/>
          </w:tcPr>
          <w:p w14:paraId="2699E02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23.8%</w:t>
            </w:r>
          </w:p>
        </w:tc>
        <w:tc>
          <w:tcPr>
            <w:tcW w:w="718" w:type="dxa"/>
            <w:tcBorders>
              <w:top w:val="nil"/>
              <w:left w:val="nil"/>
              <w:bottom w:val="nil"/>
              <w:right w:val="nil"/>
            </w:tcBorders>
            <w:noWrap/>
            <w:vAlign w:val="bottom"/>
            <w:hideMark/>
          </w:tcPr>
          <w:p w14:paraId="783975C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31.1%</w:t>
            </w:r>
          </w:p>
        </w:tc>
        <w:tc>
          <w:tcPr>
            <w:tcW w:w="1054" w:type="dxa"/>
            <w:tcBorders>
              <w:top w:val="nil"/>
              <w:left w:val="single" w:sz="4" w:space="0" w:color="93D07B"/>
              <w:bottom w:val="nil"/>
              <w:right w:val="single" w:sz="4" w:space="0" w:color="93D07B"/>
            </w:tcBorders>
            <w:noWrap/>
            <w:vAlign w:val="bottom"/>
            <w:hideMark/>
          </w:tcPr>
          <w:p w14:paraId="4F697C2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21.7%</w:t>
            </w:r>
          </w:p>
        </w:tc>
      </w:tr>
      <w:tr w:rsidR="00BD60C8" w:rsidRPr="00116D0B" w14:paraId="229A86A6" w14:textId="77777777" w:rsidTr="00842D36">
        <w:trPr>
          <w:trHeight w:val="291"/>
        </w:trPr>
        <w:tc>
          <w:tcPr>
            <w:tcW w:w="2823" w:type="dxa"/>
            <w:tcBorders>
              <w:top w:val="nil"/>
              <w:left w:val="nil"/>
              <w:bottom w:val="single" w:sz="8" w:space="0" w:color="549E39"/>
              <w:right w:val="nil"/>
            </w:tcBorders>
            <w:noWrap/>
            <w:vAlign w:val="bottom"/>
            <w:hideMark/>
          </w:tcPr>
          <w:p w14:paraId="5E193377"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Low</w:t>
            </w:r>
          </w:p>
        </w:tc>
        <w:tc>
          <w:tcPr>
            <w:tcW w:w="718" w:type="dxa"/>
            <w:tcBorders>
              <w:top w:val="nil"/>
              <w:left w:val="single" w:sz="4" w:space="0" w:color="93D07B"/>
              <w:bottom w:val="single" w:sz="8" w:space="0" w:color="549E39"/>
              <w:right w:val="single" w:sz="4" w:space="0" w:color="93D07B"/>
            </w:tcBorders>
            <w:noWrap/>
            <w:vAlign w:val="bottom"/>
            <w:hideMark/>
          </w:tcPr>
          <w:p w14:paraId="07D83B9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32" w:type="dxa"/>
            <w:tcBorders>
              <w:top w:val="nil"/>
              <w:left w:val="nil"/>
              <w:bottom w:val="single" w:sz="8" w:space="0" w:color="549E39"/>
              <w:right w:val="nil"/>
            </w:tcBorders>
            <w:noWrap/>
            <w:vAlign w:val="bottom"/>
            <w:hideMark/>
          </w:tcPr>
          <w:p w14:paraId="0D73D8A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11" w:type="dxa"/>
            <w:tcBorders>
              <w:top w:val="nil"/>
              <w:left w:val="single" w:sz="4" w:space="0" w:color="93D07B"/>
              <w:bottom w:val="single" w:sz="8" w:space="0" w:color="549E39"/>
              <w:right w:val="single" w:sz="4" w:space="0" w:color="93D07B"/>
            </w:tcBorders>
            <w:noWrap/>
            <w:vAlign w:val="bottom"/>
            <w:hideMark/>
          </w:tcPr>
          <w:p w14:paraId="304AE6E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nil"/>
              <w:bottom w:val="single" w:sz="8" w:space="0" w:color="549E39"/>
              <w:right w:val="nil"/>
            </w:tcBorders>
            <w:noWrap/>
            <w:vAlign w:val="bottom"/>
            <w:hideMark/>
          </w:tcPr>
          <w:p w14:paraId="448988F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6B57F2B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39" w:type="dxa"/>
            <w:tcBorders>
              <w:top w:val="nil"/>
              <w:left w:val="nil"/>
              <w:bottom w:val="single" w:sz="8" w:space="0" w:color="549E39"/>
              <w:right w:val="nil"/>
            </w:tcBorders>
            <w:noWrap/>
            <w:vAlign w:val="bottom"/>
            <w:hideMark/>
          </w:tcPr>
          <w:p w14:paraId="280692B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18" w:type="dxa"/>
            <w:tcBorders>
              <w:top w:val="nil"/>
              <w:left w:val="single" w:sz="4" w:space="0" w:color="93D07B"/>
              <w:bottom w:val="single" w:sz="8" w:space="0" w:color="549E39"/>
              <w:right w:val="single" w:sz="4" w:space="0" w:color="93D07B"/>
            </w:tcBorders>
            <w:noWrap/>
            <w:vAlign w:val="bottom"/>
            <w:hideMark/>
          </w:tcPr>
          <w:p w14:paraId="1F387B6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c>
          <w:tcPr>
            <w:tcW w:w="718" w:type="dxa"/>
            <w:tcBorders>
              <w:top w:val="nil"/>
              <w:left w:val="nil"/>
              <w:bottom w:val="single" w:sz="8" w:space="0" w:color="549E39"/>
              <w:right w:val="nil"/>
            </w:tcBorders>
            <w:noWrap/>
            <w:vAlign w:val="bottom"/>
            <w:hideMark/>
          </w:tcPr>
          <w:p w14:paraId="54E4273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54" w:type="dxa"/>
            <w:tcBorders>
              <w:top w:val="nil"/>
              <w:left w:val="single" w:sz="4" w:space="0" w:color="93D07B"/>
              <w:bottom w:val="single" w:sz="8" w:space="0" w:color="549E39"/>
              <w:right w:val="single" w:sz="4" w:space="0" w:color="93D07B"/>
            </w:tcBorders>
            <w:noWrap/>
            <w:vAlign w:val="bottom"/>
            <w:hideMark/>
          </w:tcPr>
          <w:p w14:paraId="4FC062C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0.5%</w:t>
            </w:r>
          </w:p>
        </w:tc>
      </w:tr>
      <w:tr w:rsidR="00BD60C8" w:rsidRPr="00116D0B" w14:paraId="46ECDB6E" w14:textId="77777777" w:rsidTr="00842D36">
        <w:trPr>
          <w:trHeight w:val="553"/>
        </w:trPr>
        <w:tc>
          <w:tcPr>
            <w:tcW w:w="9953" w:type="dxa"/>
            <w:gridSpan w:val="10"/>
            <w:tcBorders>
              <w:top w:val="single" w:sz="8" w:space="0" w:color="549E39"/>
              <w:left w:val="nil"/>
              <w:bottom w:val="nil"/>
              <w:right w:val="nil"/>
            </w:tcBorders>
            <w:vAlign w:val="bottom"/>
            <w:hideMark/>
          </w:tcPr>
          <w:p w14:paraId="1D2C48AD" w14:textId="77777777" w:rsidR="00BD60C8" w:rsidRPr="00116D0B" w:rsidRDefault="00BD60C8" w:rsidP="00BD60C8">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lastRenderedPageBreak/>
              <w:t>To what extent do you feel women may be deprived of some entitlements if they don’t participate in Community Development Planning processes</w:t>
            </w:r>
          </w:p>
        </w:tc>
      </w:tr>
      <w:tr w:rsidR="00BD60C8" w:rsidRPr="00116D0B" w14:paraId="58A0008F" w14:textId="77777777" w:rsidTr="00842D36">
        <w:trPr>
          <w:trHeight w:val="291"/>
        </w:trPr>
        <w:tc>
          <w:tcPr>
            <w:tcW w:w="2823" w:type="dxa"/>
            <w:tcBorders>
              <w:top w:val="nil"/>
              <w:left w:val="nil"/>
              <w:bottom w:val="nil"/>
              <w:right w:val="nil"/>
            </w:tcBorders>
            <w:noWrap/>
            <w:vAlign w:val="bottom"/>
            <w:hideMark/>
          </w:tcPr>
          <w:p w14:paraId="07AAE8DA"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high</w:t>
            </w:r>
          </w:p>
        </w:tc>
        <w:tc>
          <w:tcPr>
            <w:tcW w:w="718" w:type="dxa"/>
            <w:tcBorders>
              <w:top w:val="nil"/>
              <w:left w:val="single" w:sz="4" w:space="0" w:color="93D07B"/>
              <w:bottom w:val="nil"/>
              <w:right w:val="single" w:sz="4" w:space="0" w:color="93D07B"/>
            </w:tcBorders>
            <w:noWrap/>
            <w:vAlign w:val="bottom"/>
            <w:hideMark/>
          </w:tcPr>
          <w:p w14:paraId="42B3972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32" w:type="dxa"/>
            <w:tcBorders>
              <w:top w:val="nil"/>
              <w:left w:val="nil"/>
              <w:bottom w:val="nil"/>
              <w:right w:val="nil"/>
            </w:tcBorders>
            <w:noWrap/>
            <w:vAlign w:val="bottom"/>
            <w:hideMark/>
          </w:tcPr>
          <w:p w14:paraId="7EBAE0E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9.8%</w:t>
            </w:r>
          </w:p>
        </w:tc>
        <w:tc>
          <w:tcPr>
            <w:tcW w:w="911" w:type="dxa"/>
            <w:tcBorders>
              <w:top w:val="nil"/>
              <w:left w:val="single" w:sz="4" w:space="0" w:color="93D07B"/>
              <w:bottom w:val="nil"/>
              <w:right w:val="single" w:sz="4" w:space="0" w:color="93D07B"/>
            </w:tcBorders>
            <w:noWrap/>
            <w:vAlign w:val="bottom"/>
            <w:hideMark/>
          </w:tcPr>
          <w:p w14:paraId="6253C68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718" w:type="dxa"/>
            <w:tcBorders>
              <w:top w:val="nil"/>
              <w:left w:val="nil"/>
              <w:bottom w:val="nil"/>
              <w:right w:val="nil"/>
            </w:tcBorders>
            <w:noWrap/>
            <w:vAlign w:val="bottom"/>
            <w:hideMark/>
          </w:tcPr>
          <w:p w14:paraId="42F5032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23.3%</w:t>
            </w:r>
          </w:p>
        </w:tc>
        <w:tc>
          <w:tcPr>
            <w:tcW w:w="718" w:type="dxa"/>
            <w:tcBorders>
              <w:top w:val="nil"/>
              <w:left w:val="single" w:sz="4" w:space="0" w:color="93D07B"/>
              <w:bottom w:val="nil"/>
              <w:right w:val="single" w:sz="4" w:space="0" w:color="93D07B"/>
            </w:tcBorders>
            <w:noWrap/>
            <w:vAlign w:val="bottom"/>
            <w:hideMark/>
          </w:tcPr>
          <w:p w14:paraId="4C862F7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31.8%</w:t>
            </w:r>
          </w:p>
        </w:tc>
        <w:tc>
          <w:tcPr>
            <w:tcW w:w="839" w:type="dxa"/>
            <w:tcBorders>
              <w:top w:val="nil"/>
              <w:left w:val="nil"/>
              <w:bottom w:val="nil"/>
              <w:right w:val="nil"/>
            </w:tcBorders>
            <w:noWrap/>
            <w:vAlign w:val="bottom"/>
            <w:hideMark/>
          </w:tcPr>
          <w:p w14:paraId="52D84C6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16.3%</w:t>
            </w:r>
          </w:p>
        </w:tc>
        <w:tc>
          <w:tcPr>
            <w:tcW w:w="718" w:type="dxa"/>
            <w:tcBorders>
              <w:top w:val="nil"/>
              <w:left w:val="single" w:sz="4" w:space="0" w:color="93D07B"/>
              <w:bottom w:val="nil"/>
              <w:right w:val="single" w:sz="4" w:space="0" w:color="93D07B"/>
            </w:tcBorders>
            <w:noWrap/>
            <w:vAlign w:val="bottom"/>
            <w:hideMark/>
          </w:tcPr>
          <w:p w14:paraId="4EF74F7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8.9%</w:t>
            </w:r>
          </w:p>
        </w:tc>
        <w:tc>
          <w:tcPr>
            <w:tcW w:w="718" w:type="dxa"/>
            <w:tcBorders>
              <w:top w:val="nil"/>
              <w:left w:val="nil"/>
              <w:bottom w:val="nil"/>
              <w:right w:val="nil"/>
            </w:tcBorders>
            <w:noWrap/>
            <w:vAlign w:val="bottom"/>
            <w:hideMark/>
          </w:tcPr>
          <w:p w14:paraId="00B0C92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w:t>
            </w:r>
          </w:p>
        </w:tc>
        <w:tc>
          <w:tcPr>
            <w:tcW w:w="1054" w:type="dxa"/>
            <w:tcBorders>
              <w:top w:val="nil"/>
              <w:left w:val="single" w:sz="4" w:space="0" w:color="93D07B"/>
              <w:bottom w:val="nil"/>
              <w:right w:val="single" w:sz="4" w:space="0" w:color="93D07B"/>
            </w:tcBorders>
            <w:noWrap/>
            <w:vAlign w:val="bottom"/>
            <w:hideMark/>
          </w:tcPr>
          <w:p w14:paraId="19226C4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15.2%</w:t>
            </w:r>
          </w:p>
        </w:tc>
      </w:tr>
      <w:tr w:rsidR="00BD60C8" w:rsidRPr="00116D0B" w14:paraId="66E8F2D6" w14:textId="77777777" w:rsidTr="00842D36">
        <w:trPr>
          <w:trHeight w:val="281"/>
        </w:trPr>
        <w:tc>
          <w:tcPr>
            <w:tcW w:w="2823" w:type="dxa"/>
            <w:tcBorders>
              <w:top w:val="nil"/>
              <w:left w:val="nil"/>
              <w:bottom w:val="nil"/>
              <w:right w:val="nil"/>
            </w:tcBorders>
            <w:noWrap/>
            <w:vAlign w:val="bottom"/>
            <w:hideMark/>
          </w:tcPr>
          <w:p w14:paraId="0D425877"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High</w:t>
            </w:r>
          </w:p>
        </w:tc>
        <w:tc>
          <w:tcPr>
            <w:tcW w:w="718" w:type="dxa"/>
            <w:tcBorders>
              <w:top w:val="nil"/>
              <w:left w:val="single" w:sz="4" w:space="0" w:color="93D07B"/>
              <w:bottom w:val="nil"/>
              <w:right w:val="single" w:sz="4" w:space="0" w:color="93D07B"/>
            </w:tcBorders>
            <w:noWrap/>
            <w:vAlign w:val="bottom"/>
            <w:hideMark/>
          </w:tcPr>
          <w:p w14:paraId="4548753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48.8%</w:t>
            </w:r>
          </w:p>
        </w:tc>
        <w:tc>
          <w:tcPr>
            <w:tcW w:w="732" w:type="dxa"/>
            <w:tcBorders>
              <w:top w:val="nil"/>
              <w:left w:val="nil"/>
              <w:bottom w:val="nil"/>
              <w:right w:val="nil"/>
            </w:tcBorders>
            <w:noWrap/>
            <w:vAlign w:val="bottom"/>
            <w:hideMark/>
          </w:tcPr>
          <w:p w14:paraId="07C6A53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41.5%</w:t>
            </w:r>
          </w:p>
        </w:tc>
        <w:tc>
          <w:tcPr>
            <w:tcW w:w="911" w:type="dxa"/>
            <w:tcBorders>
              <w:top w:val="nil"/>
              <w:left w:val="single" w:sz="4" w:space="0" w:color="93D07B"/>
              <w:bottom w:val="nil"/>
              <w:right w:val="single" w:sz="4" w:space="0" w:color="93D07B"/>
            </w:tcBorders>
            <w:noWrap/>
            <w:vAlign w:val="bottom"/>
            <w:hideMark/>
          </w:tcPr>
          <w:p w14:paraId="6ABCF2B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718" w:type="dxa"/>
            <w:tcBorders>
              <w:top w:val="nil"/>
              <w:left w:val="nil"/>
              <w:bottom w:val="nil"/>
              <w:right w:val="nil"/>
            </w:tcBorders>
            <w:noWrap/>
            <w:vAlign w:val="bottom"/>
            <w:hideMark/>
          </w:tcPr>
          <w:p w14:paraId="6DB8381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44.2%</w:t>
            </w:r>
          </w:p>
        </w:tc>
        <w:tc>
          <w:tcPr>
            <w:tcW w:w="718" w:type="dxa"/>
            <w:tcBorders>
              <w:top w:val="nil"/>
              <w:left w:val="single" w:sz="4" w:space="0" w:color="93D07B"/>
              <w:bottom w:val="nil"/>
              <w:right w:val="single" w:sz="4" w:space="0" w:color="93D07B"/>
            </w:tcBorders>
            <w:noWrap/>
            <w:vAlign w:val="bottom"/>
            <w:hideMark/>
          </w:tcPr>
          <w:p w14:paraId="4F4D7E0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29.5%</w:t>
            </w:r>
          </w:p>
        </w:tc>
        <w:tc>
          <w:tcPr>
            <w:tcW w:w="839" w:type="dxa"/>
            <w:tcBorders>
              <w:top w:val="nil"/>
              <w:left w:val="nil"/>
              <w:bottom w:val="nil"/>
              <w:right w:val="nil"/>
            </w:tcBorders>
            <w:noWrap/>
            <w:vAlign w:val="bottom"/>
            <w:hideMark/>
          </w:tcPr>
          <w:p w14:paraId="6AE80C0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7.0%</w:t>
            </w:r>
          </w:p>
        </w:tc>
        <w:tc>
          <w:tcPr>
            <w:tcW w:w="718" w:type="dxa"/>
            <w:tcBorders>
              <w:top w:val="nil"/>
              <w:left w:val="single" w:sz="4" w:space="0" w:color="93D07B"/>
              <w:bottom w:val="nil"/>
              <w:right w:val="single" w:sz="4" w:space="0" w:color="93D07B"/>
            </w:tcBorders>
            <w:noWrap/>
            <w:vAlign w:val="bottom"/>
            <w:hideMark/>
          </w:tcPr>
          <w:p w14:paraId="6322920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35.6%</w:t>
            </w:r>
          </w:p>
        </w:tc>
        <w:tc>
          <w:tcPr>
            <w:tcW w:w="718" w:type="dxa"/>
            <w:tcBorders>
              <w:top w:val="nil"/>
              <w:left w:val="nil"/>
              <w:bottom w:val="nil"/>
              <w:right w:val="nil"/>
            </w:tcBorders>
            <w:noWrap/>
            <w:vAlign w:val="bottom"/>
            <w:hideMark/>
          </w:tcPr>
          <w:p w14:paraId="404911F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66.7%</w:t>
            </w:r>
          </w:p>
        </w:tc>
        <w:tc>
          <w:tcPr>
            <w:tcW w:w="1054" w:type="dxa"/>
            <w:tcBorders>
              <w:top w:val="nil"/>
              <w:left w:val="single" w:sz="4" w:space="0" w:color="93D07B"/>
              <w:bottom w:val="nil"/>
              <w:right w:val="single" w:sz="4" w:space="0" w:color="93D07B"/>
            </w:tcBorders>
            <w:noWrap/>
            <w:vAlign w:val="bottom"/>
            <w:hideMark/>
          </w:tcPr>
          <w:p w14:paraId="4E42775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36.1%</w:t>
            </w:r>
          </w:p>
        </w:tc>
      </w:tr>
      <w:tr w:rsidR="00BD60C8" w:rsidRPr="00116D0B" w14:paraId="28328B06" w14:textId="77777777" w:rsidTr="00842D36">
        <w:trPr>
          <w:trHeight w:val="281"/>
        </w:trPr>
        <w:tc>
          <w:tcPr>
            <w:tcW w:w="2823" w:type="dxa"/>
            <w:tcBorders>
              <w:top w:val="nil"/>
              <w:left w:val="nil"/>
              <w:bottom w:val="nil"/>
              <w:right w:val="nil"/>
            </w:tcBorders>
            <w:noWrap/>
            <w:vAlign w:val="bottom"/>
            <w:hideMark/>
          </w:tcPr>
          <w:p w14:paraId="11B8D85B"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Medium</w:t>
            </w:r>
          </w:p>
        </w:tc>
        <w:tc>
          <w:tcPr>
            <w:tcW w:w="718" w:type="dxa"/>
            <w:tcBorders>
              <w:top w:val="nil"/>
              <w:left w:val="single" w:sz="4" w:space="0" w:color="93D07B"/>
              <w:bottom w:val="nil"/>
              <w:right w:val="single" w:sz="4" w:space="0" w:color="93D07B"/>
            </w:tcBorders>
            <w:noWrap/>
            <w:vAlign w:val="bottom"/>
            <w:hideMark/>
          </w:tcPr>
          <w:p w14:paraId="7B50E20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34.9%</w:t>
            </w:r>
          </w:p>
        </w:tc>
        <w:tc>
          <w:tcPr>
            <w:tcW w:w="732" w:type="dxa"/>
            <w:tcBorders>
              <w:top w:val="nil"/>
              <w:left w:val="nil"/>
              <w:bottom w:val="nil"/>
              <w:right w:val="nil"/>
            </w:tcBorders>
            <w:noWrap/>
            <w:vAlign w:val="bottom"/>
            <w:hideMark/>
          </w:tcPr>
          <w:p w14:paraId="68FB8DD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41.5%</w:t>
            </w:r>
          </w:p>
        </w:tc>
        <w:tc>
          <w:tcPr>
            <w:tcW w:w="911" w:type="dxa"/>
            <w:tcBorders>
              <w:top w:val="nil"/>
              <w:left w:val="single" w:sz="4" w:space="0" w:color="93D07B"/>
              <w:bottom w:val="nil"/>
              <w:right w:val="single" w:sz="4" w:space="0" w:color="93D07B"/>
            </w:tcBorders>
            <w:noWrap/>
            <w:vAlign w:val="bottom"/>
            <w:hideMark/>
          </w:tcPr>
          <w:p w14:paraId="157C672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45.5%</w:t>
            </w:r>
          </w:p>
        </w:tc>
        <w:tc>
          <w:tcPr>
            <w:tcW w:w="718" w:type="dxa"/>
            <w:tcBorders>
              <w:top w:val="nil"/>
              <w:left w:val="nil"/>
              <w:bottom w:val="nil"/>
              <w:right w:val="nil"/>
            </w:tcBorders>
            <w:noWrap/>
            <w:vAlign w:val="bottom"/>
            <w:hideMark/>
          </w:tcPr>
          <w:p w14:paraId="608E80B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18" w:type="dxa"/>
            <w:tcBorders>
              <w:top w:val="nil"/>
              <w:left w:val="single" w:sz="4" w:space="0" w:color="93D07B"/>
              <w:bottom w:val="nil"/>
              <w:right w:val="single" w:sz="4" w:space="0" w:color="93D07B"/>
            </w:tcBorders>
            <w:noWrap/>
            <w:vAlign w:val="bottom"/>
            <w:hideMark/>
          </w:tcPr>
          <w:p w14:paraId="55ED9B4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11.4%</w:t>
            </w:r>
          </w:p>
        </w:tc>
        <w:tc>
          <w:tcPr>
            <w:tcW w:w="839" w:type="dxa"/>
            <w:tcBorders>
              <w:top w:val="nil"/>
              <w:left w:val="nil"/>
              <w:bottom w:val="nil"/>
              <w:right w:val="nil"/>
            </w:tcBorders>
            <w:noWrap/>
            <w:vAlign w:val="bottom"/>
            <w:hideMark/>
          </w:tcPr>
          <w:p w14:paraId="176A59E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48.8%</w:t>
            </w:r>
          </w:p>
        </w:tc>
        <w:tc>
          <w:tcPr>
            <w:tcW w:w="718" w:type="dxa"/>
            <w:tcBorders>
              <w:top w:val="nil"/>
              <w:left w:val="single" w:sz="4" w:space="0" w:color="93D07B"/>
              <w:bottom w:val="nil"/>
              <w:right w:val="single" w:sz="4" w:space="0" w:color="93D07B"/>
            </w:tcBorders>
            <w:noWrap/>
            <w:vAlign w:val="bottom"/>
            <w:hideMark/>
          </w:tcPr>
          <w:p w14:paraId="66085A8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48.5%</w:t>
            </w:r>
          </w:p>
        </w:tc>
        <w:tc>
          <w:tcPr>
            <w:tcW w:w="718" w:type="dxa"/>
            <w:tcBorders>
              <w:top w:val="nil"/>
              <w:left w:val="nil"/>
              <w:bottom w:val="nil"/>
              <w:right w:val="nil"/>
            </w:tcBorders>
            <w:noWrap/>
            <w:vAlign w:val="bottom"/>
            <w:hideMark/>
          </w:tcPr>
          <w:p w14:paraId="69858B7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17.8%</w:t>
            </w:r>
          </w:p>
        </w:tc>
        <w:tc>
          <w:tcPr>
            <w:tcW w:w="1054" w:type="dxa"/>
            <w:tcBorders>
              <w:top w:val="nil"/>
              <w:left w:val="single" w:sz="4" w:space="0" w:color="93D07B"/>
              <w:bottom w:val="nil"/>
              <w:right w:val="single" w:sz="4" w:space="0" w:color="93D07B"/>
            </w:tcBorders>
            <w:noWrap/>
            <w:vAlign w:val="bottom"/>
            <w:hideMark/>
          </w:tcPr>
          <w:p w14:paraId="4344245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35.2%</w:t>
            </w:r>
          </w:p>
        </w:tc>
      </w:tr>
      <w:tr w:rsidR="00BD60C8" w:rsidRPr="00116D0B" w14:paraId="78A28AE3" w14:textId="77777777" w:rsidTr="00842D36">
        <w:trPr>
          <w:trHeight w:val="281"/>
        </w:trPr>
        <w:tc>
          <w:tcPr>
            <w:tcW w:w="2823" w:type="dxa"/>
            <w:tcBorders>
              <w:top w:val="nil"/>
              <w:left w:val="nil"/>
              <w:bottom w:val="nil"/>
              <w:right w:val="nil"/>
            </w:tcBorders>
            <w:noWrap/>
            <w:vAlign w:val="bottom"/>
            <w:hideMark/>
          </w:tcPr>
          <w:p w14:paraId="360C3D39"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Low</w:t>
            </w:r>
          </w:p>
        </w:tc>
        <w:tc>
          <w:tcPr>
            <w:tcW w:w="718" w:type="dxa"/>
            <w:tcBorders>
              <w:top w:val="nil"/>
              <w:left w:val="single" w:sz="4" w:space="0" w:color="93D07B"/>
              <w:bottom w:val="nil"/>
              <w:right w:val="single" w:sz="4" w:space="0" w:color="93D07B"/>
            </w:tcBorders>
            <w:noWrap/>
            <w:vAlign w:val="bottom"/>
            <w:hideMark/>
          </w:tcPr>
          <w:p w14:paraId="0E95779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32" w:type="dxa"/>
            <w:tcBorders>
              <w:top w:val="nil"/>
              <w:left w:val="nil"/>
              <w:bottom w:val="nil"/>
              <w:right w:val="nil"/>
            </w:tcBorders>
            <w:noWrap/>
            <w:vAlign w:val="bottom"/>
            <w:hideMark/>
          </w:tcPr>
          <w:p w14:paraId="1719CB6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7.3%</w:t>
            </w:r>
          </w:p>
        </w:tc>
        <w:tc>
          <w:tcPr>
            <w:tcW w:w="911" w:type="dxa"/>
            <w:tcBorders>
              <w:top w:val="nil"/>
              <w:left w:val="single" w:sz="4" w:space="0" w:color="93D07B"/>
              <w:bottom w:val="nil"/>
              <w:right w:val="single" w:sz="4" w:space="0" w:color="93D07B"/>
            </w:tcBorders>
            <w:noWrap/>
            <w:vAlign w:val="bottom"/>
            <w:hideMark/>
          </w:tcPr>
          <w:p w14:paraId="539DD9D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12.7%</w:t>
            </w:r>
          </w:p>
        </w:tc>
        <w:tc>
          <w:tcPr>
            <w:tcW w:w="718" w:type="dxa"/>
            <w:tcBorders>
              <w:top w:val="nil"/>
              <w:left w:val="nil"/>
              <w:bottom w:val="nil"/>
              <w:right w:val="nil"/>
            </w:tcBorders>
            <w:noWrap/>
            <w:vAlign w:val="bottom"/>
            <w:hideMark/>
          </w:tcPr>
          <w:p w14:paraId="69BA93E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18.6%</w:t>
            </w:r>
          </w:p>
        </w:tc>
        <w:tc>
          <w:tcPr>
            <w:tcW w:w="718" w:type="dxa"/>
            <w:tcBorders>
              <w:top w:val="nil"/>
              <w:left w:val="single" w:sz="4" w:space="0" w:color="93D07B"/>
              <w:bottom w:val="nil"/>
              <w:right w:val="single" w:sz="4" w:space="0" w:color="93D07B"/>
            </w:tcBorders>
            <w:noWrap/>
            <w:vAlign w:val="bottom"/>
            <w:hideMark/>
          </w:tcPr>
          <w:p w14:paraId="35C9B2E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27.3%</w:t>
            </w:r>
          </w:p>
        </w:tc>
        <w:tc>
          <w:tcPr>
            <w:tcW w:w="839" w:type="dxa"/>
            <w:tcBorders>
              <w:top w:val="nil"/>
              <w:left w:val="nil"/>
              <w:bottom w:val="nil"/>
              <w:right w:val="nil"/>
            </w:tcBorders>
            <w:noWrap/>
            <w:vAlign w:val="bottom"/>
            <w:hideMark/>
          </w:tcPr>
          <w:p w14:paraId="15E03C0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27.9%</w:t>
            </w:r>
          </w:p>
        </w:tc>
        <w:tc>
          <w:tcPr>
            <w:tcW w:w="718" w:type="dxa"/>
            <w:tcBorders>
              <w:top w:val="nil"/>
              <w:left w:val="single" w:sz="4" w:space="0" w:color="93D07B"/>
              <w:bottom w:val="nil"/>
              <w:right w:val="single" w:sz="4" w:space="0" w:color="93D07B"/>
            </w:tcBorders>
            <w:noWrap/>
            <w:vAlign w:val="bottom"/>
            <w:hideMark/>
          </w:tcPr>
          <w:p w14:paraId="566BADA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6.9%</w:t>
            </w:r>
          </w:p>
        </w:tc>
        <w:tc>
          <w:tcPr>
            <w:tcW w:w="718" w:type="dxa"/>
            <w:tcBorders>
              <w:top w:val="nil"/>
              <w:left w:val="nil"/>
              <w:bottom w:val="nil"/>
              <w:right w:val="nil"/>
            </w:tcBorders>
            <w:noWrap/>
            <w:vAlign w:val="bottom"/>
            <w:hideMark/>
          </w:tcPr>
          <w:p w14:paraId="7BF2136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11.1%</w:t>
            </w:r>
          </w:p>
        </w:tc>
        <w:tc>
          <w:tcPr>
            <w:tcW w:w="1054" w:type="dxa"/>
            <w:tcBorders>
              <w:top w:val="nil"/>
              <w:left w:val="single" w:sz="4" w:space="0" w:color="93D07B"/>
              <w:bottom w:val="nil"/>
              <w:right w:val="single" w:sz="4" w:space="0" w:color="93D07B"/>
            </w:tcBorders>
            <w:noWrap/>
            <w:vAlign w:val="bottom"/>
            <w:hideMark/>
          </w:tcPr>
          <w:p w14:paraId="10DFE6B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13.3%</w:t>
            </w:r>
          </w:p>
        </w:tc>
      </w:tr>
      <w:tr w:rsidR="00BD60C8" w:rsidRPr="00116D0B" w14:paraId="27493A91" w14:textId="77777777" w:rsidTr="00842D36">
        <w:trPr>
          <w:trHeight w:val="291"/>
        </w:trPr>
        <w:tc>
          <w:tcPr>
            <w:tcW w:w="2823" w:type="dxa"/>
            <w:tcBorders>
              <w:top w:val="nil"/>
              <w:left w:val="nil"/>
              <w:bottom w:val="single" w:sz="8" w:space="0" w:color="549E39"/>
              <w:right w:val="nil"/>
            </w:tcBorders>
            <w:noWrap/>
            <w:vAlign w:val="bottom"/>
            <w:hideMark/>
          </w:tcPr>
          <w:p w14:paraId="0EB71E34"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low</w:t>
            </w:r>
          </w:p>
        </w:tc>
        <w:tc>
          <w:tcPr>
            <w:tcW w:w="718" w:type="dxa"/>
            <w:tcBorders>
              <w:top w:val="nil"/>
              <w:left w:val="single" w:sz="4" w:space="0" w:color="93D07B"/>
              <w:bottom w:val="single" w:sz="8" w:space="0" w:color="549E39"/>
              <w:right w:val="single" w:sz="4" w:space="0" w:color="93D07B"/>
            </w:tcBorders>
            <w:noWrap/>
            <w:vAlign w:val="bottom"/>
            <w:hideMark/>
          </w:tcPr>
          <w:p w14:paraId="220E6E8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32" w:type="dxa"/>
            <w:tcBorders>
              <w:top w:val="nil"/>
              <w:left w:val="nil"/>
              <w:bottom w:val="single" w:sz="8" w:space="0" w:color="549E39"/>
              <w:right w:val="nil"/>
            </w:tcBorders>
            <w:noWrap/>
            <w:vAlign w:val="bottom"/>
            <w:hideMark/>
          </w:tcPr>
          <w:p w14:paraId="1EB42A3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11" w:type="dxa"/>
            <w:tcBorders>
              <w:top w:val="nil"/>
              <w:left w:val="single" w:sz="4" w:space="0" w:color="93D07B"/>
              <w:bottom w:val="single" w:sz="8" w:space="0" w:color="549E39"/>
              <w:right w:val="single" w:sz="4" w:space="0" w:color="93D07B"/>
            </w:tcBorders>
            <w:noWrap/>
            <w:vAlign w:val="bottom"/>
            <w:hideMark/>
          </w:tcPr>
          <w:p w14:paraId="00C501D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w:t>
            </w:r>
          </w:p>
        </w:tc>
        <w:tc>
          <w:tcPr>
            <w:tcW w:w="718" w:type="dxa"/>
            <w:tcBorders>
              <w:top w:val="nil"/>
              <w:left w:val="nil"/>
              <w:bottom w:val="single" w:sz="8" w:space="0" w:color="549E39"/>
              <w:right w:val="nil"/>
            </w:tcBorders>
            <w:noWrap/>
            <w:vAlign w:val="bottom"/>
            <w:hideMark/>
          </w:tcPr>
          <w:p w14:paraId="20E33D0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48A87BA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39" w:type="dxa"/>
            <w:tcBorders>
              <w:top w:val="nil"/>
              <w:left w:val="nil"/>
              <w:bottom w:val="single" w:sz="8" w:space="0" w:color="549E39"/>
              <w:right w:val="nil"/>
            </w:tcBorders>
            <w:noWrap/>
            <w:vAlign w:val="bottom"/>
            <w:hideMark/>
          </w:tcPr>
          <w:p w14:paraId="029B7EC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225C868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nil"/>
              <w:bottom w:val="single" w:sz="8" w:space="0" w:color="549E39"/>
              <w:right w:val="nil"/>
            </w:tcBorders>
            <w:noWrap/>
            <w:vAlign w:val="bottom"/>
            <w:hideMark/>
          </w:tcPr>
          <w:p w14:paraId="52A256F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54" w:type="dxa"/>
            <w:tcBorders>
              <w:top w:val="nil"/>
              <w:left w:val="single" w:sz="4" w:space="0" w:color="93D07B"/>
              <w:bottom w:val="single" w:sz="8" w:space="0" w:color="549E39"/>
              <w:right w:val="single" w:sz="4" w:space="0" w:color="93D07B"/>
            </w:tcBorders>
            <w:noWrap/>
            <w:vAlign w:val="bottom"/>
            <w:hideMark/>
          </w:tcPr>
          <w:p w14:paraId="38EE413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0.2%</w:t>
            </w:r>
          </w:p>
        </w:tc>
      </w:tr>
      <w:tr w:rsidR="00BD60C8" w:rsidRPr="00116D0B" w14:paraId="470FE697" w14:textId="77777777" w:rsidTr="00842D36">
        <w:trPr>
          <w:trHeight w:val="563"/>
        </w:trPr>
        <w:tc>
          <w:tcPr>
            <w:tcW w:w="9953" w:type="dxa"/>
            <w:gridSpan w:val="10"/>
            <w:tcBorders>
              <w:top w:val="single" w:sz="8" w:space="0" w:color="549E39"/>
              <w:left w:val="nil"/>
              <w:bottom w:val="nil"/>
              <w:right w:val="nil"/>
            </w:tcBorders>
            <w:vAlign w:val="bottom"/>
            <w:hideMark/>
          </w:tcPr>
          <w:p w14:paraId="3F58A71D" w14:textId="77777777" w:rsidR="00BD60C8" w:rsidRPr="00116D0B" w:rsidRDefault="00BD60C8" w:rsidP="00BD60C8">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To what extent do you feel that the view point of women are considered and appreciated during the CDP process and in community activities after the CDP Process?</w:t>
            </w:r>
          </w:p>
        </w:tc>
      </w:tr>
      <w:tr w:rsidR="00BD60C8" w:rsidRPr="00116D0B" w14:paraId="3F92C440" w14:textId="77777777" w:rsidTr="00842D36">
        <w:trPr>
          <w:trHeight w:val="281"/>
        </w:trPr>
        <w:tc>
          <w:tcPr>
            <w:tcW w:w="2823" w:type="dxa"/>
            <w:tcBorders>
              <w:top w:val="nil"/>
              <w:left w:val="nil"/>
              <w:bottom w:val="nil"/>
              <w:right w:val="nil"/>
            </w:tcBorders>
            <w:noWrap/>
            <w:vAlign w:val="bottom"/>
            <w:hideMark/>
          </w:tcPr>
          <w:p w14:paraId="480E0DA4"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high</w:t>
            </w:r>
          </w:p>
        </w:tc>
        <w:tc>
          <w:tcPr>
            <w:tcW w:w="718" w:type="dxa"/>
            <w:tcBorders>
              <w:top w:val="nil"/>
              <w:left w:val="single" w:sz="4" w:space="0" w:color="93D07B"/>
              <w:bottom w:val="nil"/>
              <w:right w:val="single" w:sz="4" w:space="0" w:color="93D07B"/>
            </w:tcBorders>
            <w:noWrap/>
            <w:vAlign w:val="bottom"/>
            <w:hideMark/>
          </w:tcPr>
          <w:p w14:paraId="5E2E1DC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16.3%</w:t>
            </w:r>
          </w:p>
        </w:tc>
        <w:tc>
          <w:tcPr>
            <w:tcW w:w="732" w:type="dxa"/>
            <w:tcBorders>
              <w:top w:val="nil"/>
              <w:left w:val="nil"/>
              <w:bottom w:val="nil"/>
              <w:right w:val="nil"/>
            </w:tcBorders>
            <w:noWrap/>
            <w:vAlign w:val="bottom"/>
            <w:hideMark/>
          </w:tcPr>
          <w:p w14:paraId="2A3A176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9.8%</w:t>
            </w:r>
          </w:p>
        </w:tc>
        <w:tc>
          <w:tcPr>
            <w:tcW w:w="911" w:type="dxa"/>
            <w:tcBorders>
              <w:top w:val="nil"/>
              <w:left w:val="single" w:sz="4" w:space="0" w:color="93D07B"/>
              <w:bottom w:val="nil"/>
              <w:right w:val="single" w:sz="4" w:space="0" w:color="93D07B"/>
            </w:tcBorders>
            <w:noWrap/>
            <w:vAlign w:val="bottom"/>
            <w:hideMark/>
          </w:tcPr>
          <w:p w14:paraId="11A1247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38.2%</w:t>
            </w:r>
          </w:p>
        </w:tc>
        <w:tc>
          <w:tcPr>
            <w:tcW w:w="718" w:type="dxa"/>
            <w:tcBorders>
              <w:top w:val="nil"/>
              <w:left w:val="nil"/>
              <w:bottom w:val="nil"/>
              <w:right w:val="nil"/>
            </w:tcBorders>
            <w:noWrap/>
            <w:vAlign w:val="bottom"/>
            <w:hideMark/>
          </w:tcPr>
          <w:p w14:paraId="6E008C5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27.9%</w:t>
            </w:r>
          </w:p>
        </w:tc>
        <w:tc>
          <w:tcPr>
            <w:tcW w:w="718" w:type="dxa"/>
            <w:tcBorders>
              <w:top w:val="nil"/>
              <w:left w:val="single" w:sz="4" w:space="0" w:color="93D07B"/>
              <w:bottom w:val="nil"/>
              <w:right w:val="single" w:sz="4" w:space="0" w:color="93D07B"/>
            </w:tcBorders>
            <w:noWrap/>
            <w:vAlign w:val="bottom"/>
            <w:hideMark/>
          </w:tcPr>
          <w:p w14:paraId="2615F99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29.5%</w:t>
            </w:r>
          </w:p>
        </w:tc>
        <w:tc>
          <w:tcPr>
            <w:tcW w:w="839" w:type="dxa"/>
            <w:tcBorders>
              <w:top w:val="nil"/>
              <w:left w:val="nil"/>
              <w:bottom w:val="nil"/>
              <w:right w:val="nil"/>
            </w:tcBorders>
            <w:noWrap/>
            <w:vAlign w:val="bottom"/>
            <w:hideMark/>
          </w:tcPr>
          <w:p w14:paraId="34160BD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72.1%</w:t>
            </w:r>
          </w:p>
        </w:tc>
        <w:tc>
          <w:tcPr>
            <w:tcW w:w="718" w:type="dxa"/>
            <w:tcBorders>
              <w:top w:val="nil"/>
              <w:left w:val="single" w:sz="4" w:space="0" w:color="93D07B"/>
              <w:bottom w:val="nil"/>
              <w:right w:val="single" w:sz="4" w:space="0" w:color="93D07B"/>
            </w:tcBorders>
            <w:noWrap/>
            <w:vAlign w:val="bottom"/>
            <w:hideMark/>
          </w:tcPr>
          <w:p w14:paraId="4CD066E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31.7%</w:t>
            </w:r>
          </w:p>
        </w:tc>
        <w:tc>
          <w:tcPr>
            <w:tcW w:w="718" w:type="dxa"/>
            <w:tcBorders>
              <w:top w:val="nil"/>
              <w:left w:val="nil"/>
              <w:bottom w:val="nil"/>
              <w:right w:val="nil"/>
            </w:tcBorders>
            <w:noWrap/>
            <w:vAlign w:val="bottom"/>
            <w:hideMark/>
          </w:tcPr>
          <w:p w14:paraId="7209AB0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w:t>
            </w:r>
          </w:p>
        </w:tc>
        <w:tc>
          <w:tcPr>
            <w:tcW w:w="1054" w:type="dxa"/>
            <w:tcBorders>
              <w:top w:val="nil"/>
              <w:left w:val="single" w:sz="4" w:space="0" w:color="93D07B"/>
              <w:bottom w:val="nil"/>
              <w:right w:val="single" w:sz="4" w:space="0" w:color="93D07B"/>
            </w:tcBorders>
            <w:noWrap/>
            <w:vAlign w:val="bottom"/>
            <w:hideMark/>
          </w:tcPr>
          <w:p w14:paraId="77F2FAF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29.2%</w:t>
            </w:r>
          </w:p>
        </w:tc>
      </w:tr>
      <w:tr w:rsidR="00BD60C8" w:rsidRPr="00116D0B" w14:paraId="7A9B8D66" w14:textId="77777777" w:rsidTr="00842D36">
        <w:trPr>
          <w:trHeight w:val="281"/>
        </w:trPr>
        <w:tc>
          <w:tcPr>
            <w:tcW w:w="2823" w:type="dxa"/>
            <w:tcBorders>
              <w:top w:val="nil"/>
              <w:left w:val="nil"/>
              <w:bottom w:val="nil"/>
              <w:right w:val="nil"/>
            </w:tcBorders>
            <w:noWrap/>
            <w:vAlign w:val="bottom"/>
            <w:hideMark/>
          </w:tcPr>
          <w:p w14:paraId="7C7FA217"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High</w:t>
            </w:r>
          </w:p>
        </w:tc>
        <w:tc>
          <w:tcPr>
            <w:tcW w:w="718" w:type="dxa"/>
            <w:tcBorders>
              <w:top w:val="nil"/>
              <w:left w:val="single" w:sz="4" w:space="0" w:color="93D07B"/>
              <w:bottom w:val="nil"/>
              <w:right w:val="single" w:sz="4" w:space="0" w:color="93D07B"/>
            </w:tcBorders>
            <w:noWrap/>
            <w:vAlign w:val="bottom"/>
            <w:hideMark/>
          </w:tcPr>
          <w:p w14:paraId="477A3A3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39.5%</w:t>
            </w:r>
          </w:p>
        </w:tc>
        <w:tc>
          <w:tcPr>
            <w:tcW w:w="732" w:type="dxa"/>
            <w:tcBorders>
              <w:top w:val="nil"/>
              <w:left w:val="nil"/>
              <w:bottom w:val="nil"/>
              <w:right w:val="nil"/>
            </w:tcBorders>
            <w:noWrap/>
            <w:vAlign w:val="bottom"/>
            <w:hideMark/>
          </w:tcPr>
          <w:p w14:paraId="37179B75"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63.4%</w:t>
            </w:r>
          </w:p>
        </w:tc>
        <w:tc>
          <w:tcPr>
            <w:tcW w:w="911" w:type="dxa"/>
            <w:tcBorders>
              <w:top w:val="nil"/>
              <w:left w:val="single" w:sz="4" w:space="0" w:color="93D07B"/>
              <w:bottom w:val="nil"/>
              <w:right w:val="single" w:sz="4" w:space="0" w:color="93D07B"/>
            </w:tcBorders>
            <w:noWrap/>
            <w:vAlign w:val="bottom"/>
            <w:hideMark/>
          </w:tcPr>
          <w:p w14:paraId="1FB3A4A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29.1%</w:t>
            </w:r>
          </w:p>
        </w:tc>
        <w:tc>
          <w:tcPr>
            <w:tcW w:w="718" w:type="dxa"/>
            <w:tcBorders>
              <w:top w:val="nil"/>
              <w:left w:val="nil"/>
              <w:bottom w:val="nil"/>
              <w:right w:val="nil"/>
            </w:tcBorders>
            <w:noWrap/>
            <w:vAlign w:val="bottom"/>
            <w:hideMark/>
          </w:tcPr>
          <w:p w14:paraId="49C1847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37.2%</w:t>
            </w:r>
          </w:p>
        </w:tc>
        <w:tc>
          <w:tcPr>
            <w:tcW w:w="718" w:type="dxa"/>
            <w:tcBorders>
              <w:top w:val="nil"/>
              <w:left w:val="single" w:sz="4" w:space="0" w:color="93D07B"/>
              <w:bottom w:val="nil"/>
              <w:right w:val="single" w:sz="4" w:space="0" w:color="93D07B"/>
            </w:tcBorders>
            <w:noWrap/>
            <w:vAlign w:val="bottom"/>
            <w:hideMark/>
          </w:tcPr>
          <w:p w14:paraId="2004DB7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68.2%</w:t>
            </w:r>
          </w:p>
        </w:tc>
        <w:tc>
          <w:tcPr>
            <w:tcW w:w="839" w:type="dxa"/>
            <w:tcBorders>
              <w:top w:val="nil"/>
              <w:left w:val="nil"/>
              <w:bottom w:val="nil"/>
              <w:right w:val="nil"/>
            </w:tcBorders>
            <w:noWrap/>
            <w:vAlign w:val="bottom"/>
            <w:hideMark/>
          </w:tcPr>
          <w:p w14:paraId="7563800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18" w:type="dxa"/>
            <w:tcBorders>
              <w:top w:val="nil"/>
              <w:left w:val="single" w:sz="4" w:space="0" w:color="93D07B"/>
              <w:bottom w:val="nil"/>
              <w:right w:val="single" w:sz="4" w:space="0" w:color="93D07B"/>
            </w:tcBorders>
            <w:noWrap/>
            <w:vAlign w:val="bottom"/>
            <w:hideMark/>
          </w:tcPr>
          <w:p w14:paraId="0534522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34.7%</w:t>
            </w:r>
          </w:p>
        </w:tc>
        <w:tc>
          <w:tcPr>
            <w:tcW w:w="718" w:type="dxa"/>
            <w:tcBorders>
              <w:top w:val="nil"/>
              <w:left w:val="nil"/>
              <w:bottom w:val="nil"/>
              <w:right w:val="nil"/>
            </w:tcBorders>
            <w:noWrap/>
            <w:vAlign w:val="bottom"/>
            <w:hideMark/>
          </w:tcPr>
          <w:p w14:paraId="4341986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62.2%</w:t>
            </w:r>
          </w:p>
        </w:tc>
        <w:tc>
          <w:tcPr>
            <w:tcW w:w="1054" w:type="dxa"/>
            <w:tcBorders>
              <w:top w:val="nil"/>
              <w:left w:val="single" w:sz="4" w:space="0" w:color="93D07B"/>
              <w:bottom w:val="nil"/>
              <w:right w:val="single" w:sz="4" w:space="0" w:color="93D07B"/>
            </w:tcBorders>
            <w:noWrap/>
            <w:vAlign w:val="bottom"/>
            <w:hideMark/>
          </w:tcPr>
          <w:p w14:paraId="4681BF7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41.9%</w:t>
            </w:r>
          </w:p>
        </w:tc>
      </w:tr>
      <w:tr w:rsidR="00BD60C8" w:rsidRPr="00116D0B" w14:paraId="745A5805" w14:textId="77777777" w:rsidTr="00842D36">
        <w:trPr>
          <w:trHeight w:val="281"/>
        </w:trPr>
        <w:tc>
          <w:tcPr>
            <w:tcW w:w="2823" w:type="dxa"/>
            <w:tcBorders>
              <w:top w:val="nil"/>
              <w:left w:val="nil"/>
              <w:bottom w:val="nil"/>
              <w:right w:val="nil"/>
            </w:tcBorders>
            <w:noWrap/>
            <w:vAlign w:val="bottom"/>
            <w:hideMark/>
          </w:tcPr>
          <w:p w14:paraId="3C8C7957"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Medium</w:t>
            </w:r>
          </w:p>
        </w:tc>
        <w:tc>
          <w:tcPr>
            <w:tcW w:w="718" w:type="dxa"/>
            <w:tcBorders>
              <w:top w:val="nil"/>
              <w:left w:val="single" w:sz="4" w:space="0" w:color="93D07B"/>
              <w:bottom w:val="nil"/>
              <w:right w:val="single" w:sz="4" w:space="0" w:color="93D07B"/>
            </w:tcBorders>
            <w:noWrap/>
            <w:vAlign w:val="bottom"/>
            <w:hideMark/>
          </w:tcPr>
          <w:p w14:paraId="7417DF0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41.9%</w:t>
            </w:r>
          </w:p>
        </w:tc>
        <w:tc>
          <w:tcPr>
            <w:tcW w:w="732" w:type="dxa"/>
            <w:tcBorders>
              <w:top w:val="nil"/>
              <w:left w:val="nil"/>
              <w:bottom w:val="nil"/>
              <w:right w:val="nil"/>
            </w:tcBorders>
            <w:noWrap/>
            <w:vAlign w:val="bottom"/>
            <w:hideMark/>
          </w:tcPr>
          <w:p w14:paraId="52D453B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24.4%</w:t>
            </w:r>
          </w:p>
        </w:tc>
        <w:tc>
          <w:tcPr>
            <w:tcW w:w="911" w:type="dxa"/>
            <w:tcBorders>
              <w:top w:val="nil"/>
              <w:left w:val="single" w:sz="4" w:space="0" w:color="93D07B"/>
              <w:bottom w:val="nil"/>
              <w:right w:val="single" w:sz="4" w:space="0" w:color="93D07B"/>
            </w:tcBorders>
            <w:noWrap/>
            <w:vAlign w:val="bottom"/>
            <w:hideMark/>
          </w:tcPr>
          <w:p w14:paraId="369C0EE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29.1%</w:t>
            </w:r>
          </w:p>
        </w:tc>
        <w:tc>
          <w:tcPr>
            <w:tcW w:w="718" w:type="dxa"/>
            <w:tcBorders>
              <w:top w:val="nil"/>
              <w:left w:val="nil"/>
              <w:bottom w:val="nil"/>
              <w:right w:val="nil"/>
            </w:tcBorders>
            <w:noWrap/>
            <w:vAlign w:val="bottom"/>
            <w:hideMark/>
          </w:tcPr>
          <w:p w14:paraId="1BF4D76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32.6%</w:t>
            </w:r>
          </w:p>
        </w:tc>
        <w:tc>
          <w:tcPr>
            <w:tcW w:w="718" w:type="dxa"/>
            <w:tcBorders>
              <w:top w:val="nil"/>
              <w:left w:val="single" w:sz="4" w:space="0" w:color="93D07B"/>
              <w:bottom w:val="nil"/>
              <w:right w:val="single" w:sz="4" w:space="0" w:color="93D07B"/>
            </w:tcBorders>
            <w:noWrap/>
            <w:vAlign w:val="bottom"/>
            <w:hideMark/>
          </w:tcPr>
          <w:p w14:paraId="1AF8BE0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839" w:type="dxa"/>
            <w:tcBorders>
              <w:top w:val="nil"/>
              <w:left w:val="nil"/>
              <w:bottom w:val="nil"/>
              <w:right w:val="nil"/>
            </w:tcBorders>
            <w:noWrap/>
            <w:vAlign w:val="bottom"/>
            <w:hideMark/>
          </w:tcPr>
          <w:p w14:paraId="539EAEB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14.0%</w:t>
            </w:r>
          </w:p>
        </w:tc>
        <w:tc>
          <w:tcPr>
            <w:tcW w:w="718" w:type="dxa"/>
            <w:tcBorders>
              <w:top w:val="nil"/>
              <w:left w:val="single" w:sz="4" w:space="0" w:color="93D07B"/>
              <w:bottom w:val="nil"/>
              <w:right w:val="single" w:sz="4" w:space="0" w:color="93D07B"/>
            </w:tcBorders>
            <w:noWrap/>
            <w:vAlign w:val="bottom"/>
            <w:hideMark/>
          </w:tcPr>
          <w:p w14:paraId="09A187B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31.7%</w:t>
            </w:r>
          </w:p>
        </w:tc>
        <w:tc>
          <w:tcPr>
            <w:tcW w:w="718" w:type="dxa"/>
            <w:tcBorders>
              <w:top w:val="nil"/>
              <w:left w:val="nil"/>
              <w:bottom w:val="nil"/>
              <w:right w:val="nil"/>
            </w:tcBorders>
            <w:noWrap/>
            <w:vAlign w:val="bottom"/>
            <w:hideMark/>
          </w:tcPr>
          <w:p w14:paraId="14E013C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33.3%</w:t>
            </w:r>
          </w:p>
        </w:tc>
        <w:tc>
          <w:tcPr>
            <w:tcW w:w="1054" w:type="dxa"/>
            <w:tcBorders>
              <w:top w:val="nil"/>
              <w:left w:val="single" w:sz="4" w:space="0" w:color="93D07B"/>
              <w:bottom w:val="nil"/>
              <w:right w:val="single" w:sz="4" w:space="0" w:color="93D07B"/>
            </w:tcBorders>
            <w:noWrap/>
            <w:vAlign w:val="bottom"/>
            <w:hideMark/>
          </w:tcPr>
          <w:p w14:paraId="736492A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27.0%</w:t>
            </w:r>
          </w:p>
        </w:tc>
      </w:tr>
      <w:tr w:rsidR="00BD60C8" w:rsidRPr="00116D0B" w14:paraId="3629EBC3" w14:textId="77777777" w:rsidTr="00842D36">
        <w:trPr>
          <w:trHeight w:val="281"/>
        </w:trPr>
        <w:tc>
          <w:tcPr>
            <w:tcW w:w="2823" w:type="dxa"/>
            <w:tcBorders>
              <w:top w:val="nil"/>
              <w:left w:val="nil"/>
              <w:bottom w:val="nil"/>
              <w:right w:val="nil"/>
            </w:tcBorders>
            <w:noWrap/>
            <w:vAlign w:val="bottom"/>
            <w:hideMark/>
          </w:tcPr>
          <w:p w14:paraId="48EFABBB"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Low</w:t>
            </w:r>
          </w:p>
        </w:tc>
        <w:tc>
          <w:tcPr>
            <w:tcW w:w="718" w:type="dxa"/>
            <w:tcBorders>
              <w:top w:val="nil"/>
              <w:left w:val="single" w:sz="4" w:space="0" w:color="93D07B"/>
              <w:bottom w:val="nil"/>
              <w:right w:val="single" w:sz="4" w:space="0" w:color="93D07B"/>
            </w:tcBorders>
            <w:noWrap/>
            <w:vAlign w:val="bottom"/>
            <w:hideMark/>
          </w:tcPr>
          <w:p w14:paraId="2D9BFEC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32" w:type="dxa"/>
            <w:tcBorders>
              <w:top w:val="nil"/>
              <w:left w:val="nil"/>
              <w:bottom w:val="nil"/>
              <w:right w:val="nil"/>
            </w:tcBorders>
            <w:noWrap/>
            <w:vAlign w:val="bottom"/>
            <w:hideMark/>
          </w:tcPr>
          <w:p w14:paraId="5489C39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w:t>
            </w:r>
          </w:p>
        </w:tc>
        <w:tc>
          <w:tcPr>
            <w:tcW w:w="911" w:type="dxa"/>
            <w:tcBorders>
              <w:top w:val="nil"/>
              <w:left w:val="single" w:sz="4" w:space="0" w:color="93D07B"/>
              <w:bottom w:val="nil"/>
              <w:right w:val="single" w:sz="4" w:space="0" w:color="93D07B"/>
            </w:tcBorders>
            <w:noWrap/>
            <w:vAlign w:val="bottom"/>
            <w:hideMark/>
          </w:tcPr>
          <w:p w14:paraId="4421C45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w:t>
            </w:r>
          </w:p>
        </w:tc>
        <w:tc>
          <w:tcPr>
            <w:tcW w:w="718" w:type="dxa"/>
            <w:tcBorders>
              <w:top w:val="nil"/>
              <w:left w:val="nil"/>
              <w:bottom w:val="nil"/>
              <w:right w:val="nil"/>
            </w:tcBorders>
            <w:noWrap/>
            <w:vAlign w:val="bottom"/>
            <w:hideMark/>
          </w:tcPr>
          <w:p w14:paraId="5E75E577"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718" w:type="dxa"/>
            <w:tcBorders>
              <w:top w:val="nil"/>
              <w:left w:val="single" w:sz="4" w:space="0" w:color="93D07B"/>
              <w:bottom w:val="nil"/>
              <w:right w:val="single" w:sz="4" w:space="0" w:color="93D07B"/>
            </w:tcBorders>
            <w:noWrap/>
            <w:vAlign w:val="bottom"/>
            <w:hideMark/>
          </w:tcPr>
          <w:p w14:paraId="6BF0F85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39" w:type="dxa"/>
            <w:tcBorders>
              <w:top w:val="nil"/>
              <w:left w:val="nil"/>
              <w:bottom w:val="nil"/>
              <w:right w:val="nil"/>
            </w:tcBorders>
            <w:noWrap/>
            <w:vAlign w:val="bottom"/>
            <w:hideMark/>
          </w:tcPr>
          <w:p w14:paraId="16743A5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nil"/>
              <w:right w:val="single" w:sz="4" w:space="0" w:color="93D07B"/>
            </w:tcBorders>
            <w:noWrap/>
            <w:vAlign w:val="bottom"/>
            <w:hideMark/>
          </w:tcPr>
          <w:p w14:paraId="03EDC9B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c>
          <w:tcPr>
            <w:tcW w:w="718" w:type="dxa"/>
            <w:tcBorders>
              <w:top w:val="nil"/>
              <w:left w:val="nil"/>
              <w:bottom w:val="nil"/>
              <w:right w:val="nil"/>
            </w:tcBorders>
            <w:noWrap/>
            <w:vAlign w:val="bottom"/>
            <w:hideMark/>
          </w:tcPr>
          <w:p w14:paraId="5460ED6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w:t>
            </w:r>
          </w:p>
        </w:tc>
        <w:tc>
          <w:tcPr>
            <w:tcW w:w="1054" w:type="dxa"/>
            <w:tcBorders>
              <w:top w:val="nil"/>
              <w:left w:val="single" w:sz="4" w:space="0" w:color="93D07B"/>
              <w:bottom w:val="nil"/>
              <w:right w:val="single" w:sz="4" w:space="0" w:color="93D07B"/>
            </w:tcBorders>
            <w:noWrap/>
            <w:vAlign w:val="bottom"/>
            <w:hideMark/>
          </w:tcPr>
          <w:p w14:paraId="257FE2B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w:t>
            </w:r>
          </w:p>
        </w:tc>
      </w:tr>
      <w:tr w:rsidR="00BD60C8" w:rsidRPr="00116D0B" w14:paraId="33849D5C" w14:textId="77777777" w:rsidTr="00842D36">
        <w:trPr>
          <w:trHeight w:val="291"/>
        </w:trPr>
        <w:tc>
          <w:tcPr>
            <w:tcW w:w="2823" w:type="dxa"/>
            <w:tcBorders>
              <w:top w:val="nil"/>
              <w:left w:val="nil"/>
              <w:bottom w:val="single" w:sz="8" w:space="0" w:color="549E39"/>
              <w:right w:val="nil"/>
            </w:tcBorders>
            <w:noWrap/>
            <w:vAlign w:val="bottom"/>
            <w:hideMark/>
          </w:tcPr>
          <w:p w14:paraId="01466ACA"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low</w:t>
            </w:r>
          </w:p>
        </w:tc>
        <w:tc>
          <w:tcPr>
            <w:tcW w:w="718" w:type="dxa"/>
            <w:tcBorders>
              <w:top w:val="nil"/>
              <w:left w:val="single" w:sz="4" w:space="0" w:color="93D07B"/>
              <w:bottom w:val="single" w:sz="8" w:space="0" w:color="549E39"/>
              <w:right w:val="single" w:sz="4" w:space="0" w:color="93D07B"/>
            </w:tcBorders>
            <w:noWrap/>
            <w:vAlign w:val="bottom"/>
            <w:hideMark/>
          </w:tcPr>
          <w:p w14:paraId="057B7DC9"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32" w:type="dxa"/>
            <w:tcBorders>
              <w:top w:val="nil"/>
              <w:left w:val="nil"/>
              <w:bottom w:val="single" w:sz="8" w:space="0" w:color="549E39"/>
              <w:right w:val="nil"/>
            </w:tcBorders>
            <w:noWrap/>
            <w:vAlign w:val="bottom"/>
            <w:hideMark/>
          </w:tcPr>
          <w:p w14:paraId="6D95368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11" w:type="dxa"/>
            <w:tcBorders>
              <w:top w:val="nil"/>
              <w:left w:val="single" w:sz="4" w:space="0" w:color="93D07B"/>
              <w:bottom w:val="single" w:sz="8" w:space="0" w:color="549E39"/>
              <w:right w:val="single" w:sz="4" w:space="0" w:color="93D07B"/>
            </w:tcBorders>
            <w:noWrap/>
            <w:vAlign w:val="bottom"/>
            <w:hideMark/>
          </w:tcPr>
          <w:p w14:paraId="105A9CD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nil"/>
              <w:bottom w:val="single" w:sz="8" w:space="0" w:color="549E39"/>
              <w:right w:val="nil"/>
            </w:tcBorders>
            <w:noWrap/>
            <w:vAlign w:val="bottom"/>
            <w:hideMark/>
          </w:tcPr>
          <w:p w14:paraId="7F3FC7F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4CE7ED4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39" w:type="dxa"/>
            <w:tcBorders>
              <w:top w:val="nil"/>
              <w:left w:val="nil"/>
              <w:bottom w:val="single" w:sz="8" w:space="0" w:color="549E39"/>
              <w:right w:val="nil"/>
            </w:tcBorders>
            <w:noWrap/>
            <w:vAlign w:val="bottom"/>
            <w:hideMark/>
          </w:tcPr>
          <w:p w14:paraId="7885C73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3F38FC7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c>
          <w:tcPr>
            <w:tcW w:w="718" w:type="dxa"/>
            <w:tcBorders>
              <w:top w:val="nil"/>
              <w:left w:val="nil"/>
              <w:bottom w:val="single" w:sz="8" w:space="0" w:color="549E39"/>
              <w:right w:val="nil"/>
            </w:tcBorders>
            <w:noWrap/>
            <w:vAlign w:val="bottom"/>
            <w:hideMark/>
          </w:tcPr>
          <w:p w14:paraId="083B7ADE"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1054" w:type="dxa"/>
            <w:tcBorders>
              <w:top w:val="nil"/>
              <w:left w:val="single" w:sz="4" w:space="0" w:color="93D07B"/>
              <w:bottom w:val="single" w:sz="8" w:space="0" w:color="549E39"/>
              <w:right w:val="single" w:sz="4" w:space="0" w:color="93D07B"/>
            </w:tcBorders>
            <w:noWrap/>
            <w:vAlign w:val="bottom"/>
            <w:hideMark/>
          </w:tcPr>
          <w:p w14:paraId="6CE54B3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0.2%</w:t>
            </w:r>
          </w:p>
        </w:tc>
      </w:tr>
      <w:tr w:rsidR="00BD60C8" w:rsidRPr="00116D0B" w14:paraId="6E0BBB3F" w14:textId="77777777" w:rsidTr="00842D36">
        <w:trPr>
          <w:trHeight w:val="281"/>
        </w:trPr>
        <w:tc>
          <w:tcPr>
            <w:tcW w:w="8899" w:type="dxa"/>
            <w:gridSpan w:val="9"/>
            <w:tcBorders>
              <w:top w:val="nil"/>
              <w:left w:val="nil"/>
              <w:bottom w:val="nil"/>
              <w:right w:val="nil"/>
            </w:tcBorders>
            <w:noWrap/>
            <w:vAlign w:val="bottom"/>
            <w:hideMark/>
          </w:tcPr>
          <w:p w14:paraId="01959470" w14:textId="77777777" w:rsidR="00BD60C8" w:rsidRPr="00116D0B" w:rsidRDefault="00BD60C8" w:rsidP="00BD60C8">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To what extent do you feel that the CDP Process has brought about positive changes in your community?</w:t>
            </w:r>
          </w:p>
        </w:tc>
        <w:tc>
          <w:tcPr>
            <w:tcW w:w="1054" w:type="dxa"/>
            <w:tcBorders>
              <w:top w:val="nil"/>
              <w:left w:val="nil"/>
              <w:bottom w:val="nil"/>
              <w:right w:val="nil"/>
            </w:tcBorders>
            <w:noWrap/>
            <w:vAlign w:val="bottom"/>
            <w:hideMark/>
          </w:tcPr>
          <w:p w14:paraId="626C4123" w14:textId="77777777" w:rsidR="00BD60C8" w:rsidRPr="00116D0B" w:rsidRDefault="00BD60C8" w:rsidP="00BD60C8">
            <w:pPr>
              <w:widowControl/>
              <w:autoSpaceDE/>
              <w:autoSpaceDN/>
              <w:rPr>
                <w:rFonts w:ascii="Garamond" w:eastAsia="Times New Roman" w:hAnsi="Garamond" w:cs="Calibri"/>
                <w:b/>
                <w:bCs/>
                <w:color w:val="000000"/>
                <w:sz w:val="24"/>
                <w:szCs w:val="24"/>
              </w:rPr>
            </w:pPr>
          </w:p>
        </w:tc>
      </w:tr>
      <w:tr w:rsidR="00BD60C8" w:rsidRPr="00116D0B" w14:paraId="7E5BDD79" w14:textId="77777777" w:rsidTr="00842D36">
        <w:trPr>
          <w:trHeight w:val="281"/>
        </w:trPr>
        <w:tc>
          <w:tcPr>
            <w:tcW w:w="2823" w:type="dxa"/>
            <w:tcBorders>
              <w:top w:val="nil"/>
              <w:left w:val="nil"/>
              <w:bottom w:val="nil"/>
              <w:right w:val="nil"/>
            </w:tcBorders>
            <w:noWrap/>
            <w:vAlign w:val="bottom"/>
            <w:hideMark/>
          </w:tcPr>
          <w:p w14:paraId="531B5BE4"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Very high</w:t>
            </w:r>
          </w:p>
        </w:tc>
        <w:tc>
          <w:tcPr>
            <w:tcW w:w="718" w:type="dxa"/>
            <w:tcBorders>
              <w:top w:val="nil"/>
              <w:left w:val="single" w:sz="4" w:space="0" w:color="93D07B"/>
              <w:bottom w:val="nil"/>
              <w:right w:val="single" w:sz="4" w:space="0" w:color="93D07B"/>
            </w:tcBorders>
            <w:noWrap/>
            <w:vAlign w:val="bottom"/>
            <w:hideMark/>
          </w:tcPr>
          <w:p w14:paraId="5BA12B5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69.8%</w:t>
            </w:r>
          </w:p>
        </w:tc>
        <w:tc>
          <w:tcPr>
            <w:tcW w:w="732" w:type="dxa"/>
            <w:tcBorders>
              <w:top w:val="nil"/>
              <w:left w:val="nil"/>
              <w:bottom w:val="nil"/>
              <w:right w:val="nil"/>
            </w:tcBorders>
            <w:noWrap/>
            <w:vAlign w:val="bottom"/>
            <w:hideMark/>
          </w:tcPr>
          <w:p w14:paraId="5108AFED"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34.1%</w:t>
            </w:r>
          </w:p>
        </w:tc>
        <w:tc>
          <w:tcPr>
            <w:tcW w:w="911" w:type="dxa"/>
            <w:tcBorders>
              <w:top w:val="nil"/>
              <w:left w:val="single" w:sz="4" w:space="0" w:color="93D07B"/>
              <w:bottom w:val="nil"/>
              <w:right w:val="single" w:sz="4" w:space="0" w:color="93D07B"/>
            </w:tcBorders>
            <w:noWrap/>
            <w:vAlign w:val="bottom"/>
            <w:hideMark/>
          </w:tcPr>
          <w:p w14:paraId="5551F29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63.6%</w:t>
            </w:r>
          </w:p>
        </w:tc>
        <w:tc>
          <w:tcPr>
            <w:tcW w:w="718" w:type="dxa"/>
            <w:tcBorders>
              <w:top w:val="nil"/>
              <w:left w:val="nil"/>
              <w:bottom w:val="nil"/>
              <w:right w:val="nil"/>
            </w:tcBorders>
            <w:noWrap/>
            <w:vAlign w:val="bottom"/>
            <w:hideMark/>
          </w:tcPr>
          <w:p w14:paraId="43D4360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81.4%</w:t>
            </w:r>
          </w:p>
        </w:tc>
        <w:tc>
          <w:tcPr>
            <w:tcW w:w="718" w:type="dxa"/>
            <w:tcBorders>
              <w:top w:val="nil"/>
              <w:left w:val="single" w:sz="4" w:space="0" w:color="93D07B"/>
              <w:bottom w:val="nil"/>
              <w:right w:val="single" w:sz="4" w:space="0" w:color="93D07B"/>
            </w:tcBorders>
            <w:noWrap/>
            <w:vAlign w:val="bottom"/>
            <w:hideMark/>
          </w:tcPr>
          <w:p w14:paraId="3F2902E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31.8%</w:t>
            </w:r>
          </w:p>
        </w:tc>
        <w:tc>
          <w:tcPr>
            <w:tcW w:w="839" w:type="dxa"/>
            <w:tcBorders>
              <w:top w:val="nil"/>
              <w:left w:val="nil"/>
              <w:bottom w:val="nil"/>
              <w:right w:val="nil"/>
            </w:tcBorders>
            <w:noWrap/>
            <w:vAlign w:val="bottom"/>
            <w:hideMark/>
          </w:tcPr>
          <w:p w14:paraId="236154C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72.1%</w:t>
            </w:r>
          </w:p>
        </w:tc>
        <w:tc>
          <w:tcPr>
            <w:tcW w:w="718" w:type="dxa"/>
            <w:tcBorders>
              <w:top w:val="nil"/>
              <w:left w:val="single" w:sz="4" w:space="0" w:color="93D07B"/>
              <w:bottom w:val="nil"/>
              <w:right w:val="single" w:sz="4" w:space="0" w:color="93D07B"/>
            </w:tcBorders>
            <w:noWrap/>
            <w:vAlign w:val="bottom"/>
            <w:hideMark/>
          </w:tcPr>
          <w:p w14:paraId="67FD14C0"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42.6%</w:t>
            </w:r>
          </w:p>
        </w:tc>
        <w:tc>
          <w:tcPr>
            <w:tcW w:w="718" w:type="dxa"/>
            <w:tcBorders>
              <w:top w:val="nil"/>
              <w:left w:val="nil"/>
              <w:bottom w:val="nil"/>
              <w:right w:val="nil"/>
            </w:tcBorders>
            <w:noWrap/>
            <w:vAlign w:val="bottom"/>
            <w:hideMark/>
          </w:tcPr>
          <w:p w14:paraId="73120322"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20.0%</w:t>
            </w:r>
          </w:p>
        </w:tc>
        <w:tc>
          <w:tcPr>
            <w:tcW w:w="1054" w:type="dxa"/>
            <w:tcBorders>
              <w:top w:val="nil"/>
              <w:left w:val="single" w:sz="4" w:space="0" w:color="93D07B"/>
              <w:bottom w:val="nil"/>
              <w:right w:val="single" w:sz="4" w:space="0" w:color="93D07B"/>
            </w:tcBorders>
            <w:noWrap/>
            <w:vAlign w:val="bottom"/>
            <w:hideMark/>
          </w:tcPr>
          <w:p w14:paraId="150F1316"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50.8%</w:t>
            </w:r>
          </w:p>
        </w:tc>
      </w:tr>
      <w:tr w:rsidR="00BD60C8" w:rsidRPr="00116D0B" w14:paraId="2A27C950" w14:textId="77777777" w:rsidTr="00842D36">
        <w:trPr>
          <w:trHeight w:val="281"/>
        </w:trPr>
        <w:tc>
          <w:tcPr>
            <w:tcW w:w="2823" w:type="dxa"/>
            <w:tcBorders>
              <w:top w:val="nil"/>
              <w:left w:val="nil"/>
              <w:bottom w:val="nil"/>
              <w:right w:val="nil"/>
            </w:tcBorders>
            <w:noWrap/>
            <w:vAlign w:val="bottom"/>
            <w:hideMark/>
          </w:tcPr>
          <w:p w14:paraId="254C6AC9"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High</w:t>
            </w:r>
          </w:p>
        </w:tc>
        <w:tc>
          <w:tcPr>
            <w:tcW w:w="718" w:type="dxa"/>
            <w:tcBorders>
              <w:top w:val="nil"/>
              <w:left w:val="single" w:sz="4" w:space="0" w:color="93D07B"/>
              <w:bottom w:val="nil"/>
              <w:right w:val="single" w:sz="4" w:space="0" w:color="93D07B"/>
            </w:tcBorders>
            <w:noWrap/>
            <w:vAlign w:val="bottom"/>
            <w:hideMark/>
          </w:tcPr>
          <w:p w14:paraId="7FA9765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23.3%</w:t>
            </w:r>
          </w:p>
        </w:tc>
        <w:tc>
          <w:tcPr>
            <w:tcW w:w="732" w:type="dxa"/>
            <w:tcBorders>
              <w:top w:val="nil"/>
              <w:left w:val="nil"/>
              <w:bottom w:val="nil"/>
              <w:right w:val="nil"/>
            </w:tcBorders>
            <w:noWrap/>
            <w:vAlign w:val="bottom"/>
            <w:hideMark/>
          </w:tcPr>
          <w:p w14:paraId="232EA35B"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48.8%</w:t>
            </w:r>
          </w:p>
        </w:tc>
        <w:tc>
          <w:tcPr>
            <w:tcW w:w="911" w:type="dxa"/>
            <w:tcBorders>
              <w:top w:val="nil"/>
              <w:left w:val="single" w:sz="4" w:space="0" w:color="93D07B"/>
              <w:bottom w:val="nil"/>
              <w:right w:val="single" w:sz="4" w:space="0" w:color="93D07B"/>
            </w:tcBorders>
            <w:noWrap/>
            <w:vAlign w:val="bottom"/>
            <w:hideMark/>
          </w:tcPr>
          <w:p w14:paraId="4F3D9E5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25.5%</w:t>
            </w:r>
          </w:p>
        </w:tc>
        <w:tc>
          <w:tcPr>
            <w:tcW w:w="718" w:type="dxa"/>
            <w:tcBorders>
              <w:top w:val="nil"/>
              <w:left w:val="nil"/>
              <w:bottom w:val="nil"/>
              <w:right w:val="nil"/>
            </w:tcBorders>
            <w:noWrap/>
            <w:vAlign w:val="bottom"/>
            <w:hideMark/>
          </w:tcPr>
          <w:p w14:paraId="09EF757A"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18.6%</w:t>
            </w:r>
          </w:p>
        </w:tc>
        <w:tc>
          <w:tcPr>
            <w:tcW w:w="718" w:type="dxa"/>
            <w:tcBorders>
              <w:top w:val="nil"/>
              <w:left w:val="single" w:sz="4" w:space="0" w:color="93D07B"/>
              <w:bottom w:val="nil"/>
              <w:right w:val="single" w:sz="4" w:space="0" w:color="93D07B"/>
            </w:tcBorders>
            <w:noWrap/>
            <w:vAlign w:val="bottom"/>
            <w:hideMark/>
          </w:tcPr>
          <w:p w14:paraId="427A79F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63.6%</w:t>
            </w:r>
          </w:p>
        </w:tc>
        <w:tc>
          <w:tcPr>
            <w:tcW w:w="839" w:type="dxa"/>
            <w:tcBorders>
              <w:top w:val="nil"/>
              <w:left w:val="nil"/>
              <w:bottom w:val="nil"/>
              <w:right w:val="nil"/>
            </w:tcBorders>
            <w:noWrap/>
            <w:vAlign w:val="bottom"/>
            <w:hideMark/>
          </w:tcPr>
          <w:p w14:paraId="6FA534B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7.0%</w:t>
            </w:r>
          </w:p>
        </w:tc>
        <w:tc>
          <w:tcPr>
            <w:tcW w:w="718" w:type="dxa"/>
            <w:tcBorders>
              <w:top w:val="nil"/>
              <w:left w:val="single" w:sz="4" w:space="0" w:color="93D07B"/>
              <w:bottom w:val="nil"/>
              <w:right w:val="single" w:sz="4" w:space="0" w:color="93D07B"/>
            </w:tcBorders>
            <w:noWrap/>
            <w:vAlign w:val="bottom"/>
            <w:hideMark/>
          </w:tcPr>
          <w:p w14:paraId="2FE36D3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44.6%</w:t>
            </w:r>
          </w:p>
        </w:tc>
        <w:tc>
          <w:tcPr>
            <w:tcW w:w="718" w:type="dxa"/>
            <w:tcBorders>
              <w:top w:val="nil"/>
              <w:left w:val="nil"/>
              <w:bottom w:val="nil"/>
              <w:right w:val="nil"/>
            </w:tcBorders>
            <w:noWrap/>
            <w:vAlign w:val="bottom"/>
            <w:hideMark/>
          </w:tcPr>
          <w:p w14:paraId="42E123F4"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53.3%</w:t>
            </w:r>
          </w:p>
        </w:tc>
        <w:tc>
          <w:tcPr>
            <w:tcW w:w="1054" w:type="dxa"/>
            <w:tcBorders>
              <w:top w:val="nil"/>
              <w:left w:val="single" w:sz="4" w:space="0" w:color="93D07B"/>
              <w:bottom w:val="nil"/>
              <w:right w:val="single" w:sz="4" w:space="0" w:color="93D07B"/>
            </w:tcBorders>
            <w:noWrap/>
            <w:vAlign w:val="bottom"/>
            <w:hideMark/>
          </w:tcPr>
          <w:p w14:paraId="522D2D18"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36.6%</w:t>
            </w:r>
          </w:p>
        </w:tc>
      </w:tr>
      <w:tr w:rsidR="00BD60C8" w:rsidRPr="00116D0B" w14:paraId="1E5B4E65" w14:textId="77777777" w:rsidTr="00842D36">
        <w:trPr>
          <w:trHeight w:val="291"/>
        </w:trPr>
        <w:tc>
          <w:tcPr>
            <w:tcW w:w="2823" w:type="dxa"/>
            <w:tcBorders>
              <w:top w:val="nil"/>
              <w:left w:val="nil"/>
              <w:bottom w:val="single" w:sz="8" w:space="0" w:color="549E39"/>
              <w:right w:val="nil"/>
            </w:tcBorders>
            <w:noWrap/>
            <w:vAlign w:val="bottom"/>
            <w:hideMark/>
          </w:tcPr>
          <w:p w14:paraId="5362C280" w14:textId="77777777" w:rsidR="00BD60C8" w:rsidRPr="00116D0B" w:rsidRDefault="00BD60C8" w:rsidP="00BD60C8">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Medium</w:t>
            </w:r>
          </w:p>
        </w:tc>
        <w:tc>
          <w:tcPr>
            <w:tcW w:w="718" w:type="dxa"/>
            <w:tcBorders>
              <w:top w:val="nil"/>
              <w:left w:val="single" w:sz="4" w:space="0" w:color="93D07B"/>
              <w:bottom w:val="single" w:sz="8" w:space="0" w:color="549E39"/>
              <w:right w:val="single" w:sz="4" w:space="0" w:color="93D07B"/>
            </w:tcBorders>
            <w:noWrap/>
            <w:vAlign w:val="bottom"/>
            <w:hideMark/>
          </w:tcPr>
          <w:p w14:paraId="0ECC8A6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7.0%</w:t>
            </w:r>
          </w:p>
        </w:tc>
        <w:tc>
          <w:tcPr>
            <w:tcW w:w="732" w:type="dxa"/>
            <w:tcBorders>
              <w:top w:val="nil"/>
              <w:left w:val="nil"/>
              <w:bottom w:val="single" w:sz="8" w:space="0" w:color="549E39"/>
              <w:right w:val="nil"/>
            </w:tcBorders>
            <w:noWrap/>
            <w:vAlign w:val="bottom"/>
            <w:hideMark/>
          </w:tcPr>
          <w:p w14:paraId="57E7874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17.1%</w:t>
            </w:r>
          </w:p>
        </w:tc>
        <w:tc>
          <w:tcPr>
            <w:tcW w:w="911" w:type="dxa"/>
            <w:tcBorders>
              <w:top w:val="nil"/>
              <w:left w:val="single" w:sz="4" w:space="0" w:color="93D07B"/>
              <w:bottom w:val="single" w:sz="8" w:space="0" w:color="549E39"/>
              <w:right w:val="single" w:sz="4" w:space="0" w:color="93D07B"/>
            </w:tcBorders>
            <w:noWrap/>
            <w:vAlign w:val="bottom"/>
            <w:hideMark/>
          </w:tcPr>
          <w:p w14:paraId="683ECA5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10.9%</w:t>
            </w:r>
          </w:p>
        </w:tc>
        <w:tc>
          <w:tcPr>
            <w:tcW w:w="718" w:type="dxa"/>
            <w:tcBorders>
              <w:top w:val="nil"/>
              <w:left w:val="nil"/>
              <w:bottom w:val="single" w:sz="8" w:space="0" w:color="549E39"/>
              <w:right w:val="nil"/>
            </w:tcBorders>
            <w:noWrap/>
            <w:vAlign w:val="bottom"/>
            <w:hideMark/>
          </w:tcPr>
          <w:p w14:paraId="4BE6953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718" w:type="dxa"/>
            <w:tcBorders>
              <w:top w:val="nil"/>
              <w:left w:val="single" w:sz="4" w:space="0" w:color="93D07B"/>
              <w:bottom w:val="single" w:sz="8" w:space="0" w:color="549E39"/>
              <w:right w:val="single" w:sz="4" w:space="0" w:color="93D07B"/>
            </w:tcBorders>
            <w:noWrap/>
            <w:vAlign w:val="bottom"/>
            <w:hideMark/>
          </w:tcPr>
          <w:p w14:paraId="67F69493"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w:t>
            </w:r>
          </w:p>
        </w:tc>
        <w:tc>
          <w:tcPr>
            <w:tcW w:w="839" w:type="dxa"/>
            <w:tcBorders>
              <w:top w:val="nil"/>
              <w:left w:val="nil"/>
              <w:bottom w:val="single" w:sz="8" w:space="0" w:color="549E39"/>
              <w:right w:val="nil"/>
            </w:tcBorders>
            <w:noWrap/>
            <w:vAlign w:val="bottom"/>
            <w:hideMark/>
          </w:tcPr>
          <w:p w14:paraId="79AEBD71"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20.9%</w:t>
            </w:r>
          </w:p>
        </w:tc>
        <w:tc>
          <w:tcPr>
            <w:tcW w:w="718" w:type="dxa"/>
            <w:tcBorders>
              <w:top w:val="nil"/>
              <w:left w:val="single" w:sz="4" w:space="0" w:color="93D07B"/>
              <w:bottom w:val="single" w:sz="8" w:space="0" w:color="549E39"/>
              <w:right w:val="single" w:sz="4" w:space="0" w:color="93D07B"/>
            </w:tcBorders>
            <w:noWrap/>
            <w:vAlign w:val="bottom"/>
            <w:hideMark/>
          </w:tcPr>
          <w:p w14:paraId="3FA6836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12.9%</w:t>
            </w:r>
          </w:p>
        </w:tc>
        <w:tc>
          <w:tcPr>
            <w:tcW w:w="718" w:type="dxa"/>
            <w:tcBorders>
              <w:top w:val="nil"/>
              <w:left w:val="nil"/>
              <w:bottom w:val="single" w:sz="8" w:space="0" w:color="549E39"/>
              <w:right w:val="nil"/>
            </w:tcBorders>
            <w:noWrap/>
            <w:vAlign w:val="bottom"/>
            <w:hideMark/>
          </w:tcPr>
          <w:p w14:paraId="720CAB4F"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26.7%</w:t>
            </w:r>
          </w:p>
        </w:tc>
        <w:tc>
          <w:tcPr>
            <w:tcW w:w="1054" w:type="dxa"/>
            <w:tcBorders>
              <w:top w:val="nil"/>
              <w:left w:val="single" w:sz="4" w:space="0" w:color="93D07B"/>
              <w:bottom w:val="single" w:sz="8" w:space="0" w:color="549E39"/>
              <w:right w:val="single" w:sz="4" w:space="0" w:color="93D07B"/>
            </w:tcBorders>
            <w:noWrap/>
            <w:vAlign w:val="bottom"/>
            <w:hideMark/>
          </w:tcPr>
          <w:p w14:paraId="6B14F72C" w14:textId="77777777" w:rsidR="00BD60C8" w:rsidRPr="00116D0B" w:rsidRDefault="00BD60C8" w:rsidP="00BD60C8">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12.5%</w:t>
            </w:r>
          </w:p>
        </w:tc>
      </w:tr>
    </w:tbl>
    <w:p w14:paraId="52DC5107" w14:textId="1C69C8D9" w:rsidR="00910502" w:rsidRPr="00116D0B" w:rsidRDefault="00910502" w:rsidP="002712D1">
      <w:pPr>
        <w:tabs>
          <w:tab w:val="left" w:pos="7310"/>
        </w:tabs>
        <w:spacing w:before="240" w:after="240" w:line="276" w:lineRule="auto"/>
        <w:jc w:val="both"/>
        <w:rPr>
          <w:rFonts w:ascii="Garamond" w:hAnsi="Garamond"/>
          <w:sz w:val="24"/>
          <w:szCs w:val="24"/>
        </w:rPr>
      </w:pPr>
      <w:r w:rsidRPr="00116D0B">
        <w:rPr>
          <w:rFonts w:ascii="Garamond" w:hAnsi="Garamond"/>
          <w:sz w:val="24"/>
          <w:szCs w:val="24"/>
        </w:rPr>
        <w:t xml:space="preserve">In terms </w:t>
      </w:r>
      <w:r w:rsidR="002712D1" w:rsidRPr="00116D0B">
        <w:rPr>
          <w:rFonts w:ascii="Garamond" w:hAnsi="Garamond"/>
          <w:sz w:val="24"/>
          <w:szCs w:val="24"/>
        </w:rPr>
        <w:t xml:space="preserve">of </w:t>
      </w:r>
      <w:r w:rsidRPr="00116D0B">
        <w:rPr>
          <w:rFonts w:ascii="Garamond" w:hAnsi="Garamond"/>
          <w:sz w:val="24"/>
          <w:szCs w:val="24"/>
        </w:rPr>
        <w:t>respondents' perceptions regarding the extent to which their involvement in community development planning will bring about positive change</w:t>
      </w:r>
      <w:r w:rsidR="002712D1" w:rsidRPr="00116D0B">
        <w:rPr>
          <w:rFonts w:ascii="Garamond" w:hAnsi="Garamond"/>
          <w:sz w:val="24"/>
          <w:szCs w:val="24"/>
        </w:rPr>
        <w:t>, the findings</w:t>
      </w:r>
      <w:r w:rsidRPr="00116D0B">
        <w:rPr>
          <w:rFonts w:ascii="Garamond" w:hAnsi="Garamond"/>
          <w:sz w:val="24"/>
          <w:szCs w:val="24"/>
        </w:rPr>
        <w:t xml:space="preserve"> </w:t>
      </w:r>
      <w:r w:rsidR="00842D36" w:rsidRPr="00116D0B">
        <w:rPr>
          <w:rFonts w:ascii="Garamond" w:hAnsi="Garamond"/>
          <w:sz w:val="24"/>
          <w:szCs w:val="24"/>
        </w:rPr>
        <w:t>indicate</w:t>
      </w:r>
      <w:r w:rsidRPr="00116D0B">
        <w:rPr>
          <w:rFonts w:ascii="Garamond" w:hAnsi="Garamond"/>
          <w:sz w:val="24"/>
          <w:szCs w:val="24"/>
        </w:rPr>
        <w:t xml:space="preserve"> a notable shift from the baseline to the endline survey. In the baseline survey, only 17.3% of respondents expressed a very high level of confidence in the positive impact of their involvement, while 32.8% reported a high level of confidence. However, in the endline survey, these figures increased significantly, with 44.3% of respondents expressing a very high level of confidence and 40.5% reporting a high level of confidence. This suggests a marked increase in optimism among respondents regarding the potential positive impact of their involvement in community development planning processes. Overall, these findings indicate a growing belief among respondents that their active participation in community development planning can lead to meaningful and positive changes within their communities.</w:t>
      </w:r>
    </w:p>
    <w:p w14:paraId="7DF8C45C" w14:textId="7316A6FF" w:rsidR="002712D1" w:rsidRPr="00116D0B" w:rsidRDefault="003039BC" w:rsidP="002712D1">
      <w:pPr>
        <w:keepNext/>
        <w:tabs>
          <w:tab w:val="left" w:pos="7310"/>
        </w:tabs>
        <w:spacing w:before="240" w:after="240" w:line="276" w:lineRule="auto"/>
        <w:jc w:val="both"/>
        <w:rPr>
          <w:rFonts w:ascii="Garamond" w:hAnsi="Garamond"/>
          <w:sz w:val="24"/>
          <w:szCs w:val="24"/>
        </w:rPr>
      </w:pPr>
      <w:r w:rsidRPr="00116D0B">
        <w:rPr>
          <w:rFonts w:ascii="Garamond" w:hAnsi="Garamond"/>
          <w:noProof/>
          <w:sz w:val="24"/>
          <w:szCs w:val="24"/>
        </w:rPr>
        <w:lastRenderedPageBreak/>
        <w:drawing>
          <wp:inline distT="0" distB="0" distL="0" distR="0" wp14:anchorId="714F3266" wp14:editId="4A7823AA">
            <wp:extent cx="6277360" cy="27643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171" cy="2774828"/>
                    </a:xfrm>
                    <a:prstGeom prst="rect">
                      <a:avLst/>
                    </a:prstGeom>
                    <a:noFill/>
                  </pic:spPr>
                </pic:pic>
              </a:graphicData>
            </a:graphic>
          </wp:inline>
        </w:drawing>
      </w:r>
    </w:p>
    <w:p w14:paraId="69113742" w14:textId="5CA088F9" w:rsidR="002712D1" w:rsidRPr="00116D0B" w:rsidRDefault="002712D1" w:rsidP="00C27173">
      <w:pPr>
        <w:pStyle w:val="Caption"/>
      </w:pPr>
      <w:bookmarkStart w:id="96" w:name="_Toc166703498"/>
      <w:r w:rsidRPr="00116D0B">
        <w:t xml:space="preserve">Figure </w:t>
      </w:r>
      <w:fldSimple w:instr=" SEQ Figure \* ARABIC ">
        <w:r w:rsidR="002756B8" w:rsidRPr="00116D0B">
          <w:rPr>
            <w:noProof/>
          </w:rPr>
          <w:t>9</w:t>
        </w:r>
      </w:fldSimple>
      <w:r w:rsidRPr="00116D0B">
        <w:t>: Respondents' perceptions regarding the extent to which their involvement in community development planning will bring about positive change</w:t>
      </w:r>
      <w:bookmarkEnd w:id="96"/>
    </w:p>
    <w:p w14:paraId="34593271" w14:textId="77777777" w:rsidR="003039BC" w:rsidRPr="00116D0B" w:rsidRDefault="003039BC" w:rsidP="00A86BC9">
      <w:pPr>
        <w:tabs>
          <w:tab w:val="left" w:pos="1550"/>
        </w:tabs>
        <w:spacing w:before="240" w:after="240" w:line="276" w:lineRule="auto"/>
        <w:jc w:val="both"/>
        <w:rPr>
          <w:rFonts w:ascii="Garamond" w:hAnsi="Garamond"/>
          <w:sz w:val="24"/>
          <w:szCs w:val="24"/>
        </w:rPr>
      </w:pPr>
    </w:p>
    <w:p w14:paraId="2D526688" w14:textId="13F31C4E" w:rsidR="002712D1" w:rsidRPr="00116D0B" w:rsidRDefault="003039BC" w:rsidP="003039BC">
      <w:pPr>
        <w:pStyle w:val="TOC3"/>
      </w:pPr>
      <w:r w:rsidRPr="00116D0B">
        <w:t>4.3.4</w:t>
      </w:r>
      <w:r w:rsidRPr="00116D0B">
        <w:tab/>
      </w:r>
      <w:r w:rsidR="00A86BC9" w:rsidRPr="00116D0B">
        <w:t>Evaluation of the Influence of the</w:t>
      </w:r>
      <w:r w:rsidR="002712D1" w:rsidRPr="00116D0B">
        <w:t xml:space="preserve"> CDP </w:t>
      </w:r>
      <w:r w:rsidR="001D05CD" w:rsidRPr="00116D0B">
        <w:t>on Inclusion</w:t>
      </w:r>
    </w:p>
    <w:p w14:paraId="40906ECE" w14:textId="3190D984" w:rsidR="00A86BC9" w:rsidRPr="00116D0B" w:rsidRDefault="001D05CD" w:rsidP="00A86BC9">
      <w:pPr>
        <w:tabs>
          <w:tab w:val="left" w:pos="1550"/>
        </w:tabs>
        <w:spacing w:before="240" w:after="240" w:line="276" w:lineRule="auto"/>
        <w:jc w:val="both"/>
        <w:rPr>
          <w:rFonts w:ascii="Garamond" w:hAnsi="Garamond"/>
          <w:sz w:val="24"/>
          <w:szCs w:val="24"/>
        </w:rPr>
      </w:pPr>
      <w:r w:rsidRPr="00116D0B">
        <w:rPr>
          <w:rFonts w:ascii="Garamond" w:hAnsi="Garamond"/>
          <w:sz w:val="24"/>
          <w:szCs w:val="24"/>
        </w:rPr>
        <w:t>The evaluation also examine</w:t>
      </w:r>
      <w:r w:rsidR="006F3CDC">
        <w:rPr>
          <w:rFonts w:ascii="Garamond" w:hAnsi="Garamond"/>
          <w:sz w:val="24"/>
          <w:szCs w:val="24"/>
        </w:rPr>
        <w:t>d</w:t>
      </w:r>
      <w:r w:rsidRPr="00116D0B">
        <w:rPr>
          <w:rFonts w:ascii="Garamond" w:hAnsi="Garamond"/>
          <w:sz w:val="24"/>
          <w:szCs w:val="24"/>
        </w:rPr>
        <w:t xml:space="preserve"> the extent to which the CDP has influenced social inclusion. </w:t>
      </w:r>
      <w:r w:rsidR="00A86BC9" w:rsidRPr="00116D0B">
        <w:rPr>
          <w:rFonts w:ascii="Garamond" w:hAnsi="Garamond"/>
          <w:sz w:val="24"/>
          <w:szCs w:val="24"/>
        </w:rPr>
        <w:t xml:space="preserve">The </w:t>
      </w:r>
      <w:r w:rsidRPr="00116D0B">
        <w:rPr>
          <w:rFonts w:ascii="Garamond" w:hAnsi="Garamond"/>
          <w:sz w:val="24"/>
          <w:szCs w:val="24"/>
        </w:rPr>
        <w:t xml:space="preserve">results </w:t>
      </w:r>
      <w:r w:rsidR="00A86BC9" w:rsidRPr="00116D0B">
        <w:rPr>
          <w:rFonts w:ascii="Garamond" w:hAnsi="Garamond"/>
          <w:sz w:val="24"/>
          <w:szCs w:val="24"/>
        </w:rPr>
        <w:t>on the inclusion of minority groups such as IDPs, PWDs, Returnees, religious minorities, and ethnic minorities in the Community Development Planning (CDP) process across different wards indicates varying levels of agreement among respondents. In g</w:t>
      </w:r>
      <w:r w:rsidRPr="00116D0B">
        <w:rPr>
          <w:rFonts w:ascii="Garamond" w:hAnsi="Garamond"/>
          <w:sz w:val="24"/>
          <w:szCs w:val="24"/>
        </w:rPr>
        <w:t>eneral, the</w:t>
      </w:r>
      <w:r w:rsidR="00A86BC9" w:rsidRPr="00116D0B">
        <w:rPr>
          <w:rFonts w:ascii="Garamond" w:hAnsi="Garamond"/>
          <w:sz w:val="24"/>
          <w:szCs w:val="24"/>
        </w:rPr>
        <w:t xml:space="preserve"> majority of respondents either strongly agreed or agreed that these minority groups were included in the CDP process. Particularly noteworthy is the high level of agreement </w:t>
      </w:r>
      <w:r w:rsidRPr="00116D0B">
        <w:rPr>
          <w:rFonts w:ascii="Garamond" w:hAnsi="Garamond"/>
          <w:sz w:val="24"/>
          <w:szCs w:val="24"/>
        </w:rPr>
        <w:t>across all the visited wards as reported by 96.9% of the respondents</w:t>
      </w:r>
      <w:r w:rsidR="00A86BC9" w:rsidRPr="00116D0B">
        <w:rPr>
          <w:rFonts w:ascii="Garamond" w:hAnsi="Garamond"/>
          <w:sz w:val="24"/>
          <w:szCs w:val="24"/>
        </w:rPr>
        <w:t xml:space="preserve">. </w:t>
      </w:r>
    </w:p>
    <w:p w14:paraId="5AE6C0AD" w14:textId="5889C03F" w:rsidR="00A86BC9" w:rsidRPr="00116D0B" w:rsidRDefault="00A86BC9" w:rsidP="00A86BC9">
      <w:pPr>
        <w:tabs>
          <w:tab w:val="left" w:pos="1550"/>
        </w:tabs>
        <w:spacing w:before="240" w:after="240" w:line="276" w:lineRule="auto"/>
        <w:jc w:val="both"/>
        <w:rPr>
          <w:rFonts w:ascii="Garamond" w:hAnsi="Garamond"/>
          <w:sz w:val="24"/>
          <w:szCs w:val="24"/>
        </w:rPr>
      </w:pPr>
      <w:r w:rsidRPr="00116D0B">
        <w:rPr>
          <w:rFonts w:ascii="Garamond" w:hAnsi="Garamond"/>
          <w:sz w:val="24"/>
          <w:szCs w:val="24"/>
        </w:rPr>
        <w:t xml:space="preserve">Regarding the facilitation of changes in community perception regarding the inclusion and participation of marginalized people through the CDP process, the </w:t>
      </w:r>
      <w:r w:rsidR="001D05CD" w:rsidRPr="00116D0B">
        <w:rPr>
          <w:rFonts w:ascii="Garamond" w:hAnsi="Garamond"/>
          <w:sz w:val="24"/>
          <w:szCs w:val="24"/>
        </w:rPr>
        <w:t>results also</w:t>
      </w:r>
      <w:r w:rsidRPr="00116D0B">
        <w:rPr>
          <w:rFonts w:ascii="Garamond" w:hAnsi="Garamond"/>
          <w:sz w:val="24"/>
          <w:szCs w:val="24"/>
        </w:rPr>
        <w:t xml:space="preserve"> reveal</w:t>
      </w:r>
      <w:r w:rsidR="001D05CD" w:rsidRPr="00116D0B">
        <w:rPr>
          <w:rFonts w:ascii="Garamond" w:hAnsi="Garamond"/>
          <w:sz w:val="24"/>
          <w:szCs w:val="24"/>
        </w:rPr>
        <w:t>ed</w:t>
      </w:r>
      <w:r w:rsidRPr="00116D0B">
        <w:rPr>
          <w:rFonts w:ascii="Garamond" w:hAnsi="Garamond"/>
          <w:sz w:val="24"/>
          <w:szCs w:val="24"/>
        </w:rPr>
        <w:t xml:space="preserve"> a similar pattern. Across most wards, a significant majority of respondents either strongly agreed or agreed that the CDP process contributed to changes in community perception. Notably, </w:t>
      </w:r>
      <w:r w:rsidR="001D05CD" w:rsidRPr="00116D0B">
        <w:rPr>
          <w:rFonts w:ascii="Garamond" w:hAnsi="Garamond"/>
          <w:sz w:val="24"/>
          <w:szCs w:val="24"/>
        </w:rPr>
        <w:t>98.1%</w:t>
      </w:r>
      <w:r w:rsidRPr="00116D0B">
        <w:rPr>
          <w:rFonts w:ascii="Garamond" w:hAnsi="Garamond"/>
          <w:sz w:val="24"/>
          <w:szCs w:val="24"/>
        </w:rPr>
        <w:t xml:space="preserve"> of </w:t>
      </w:r>
      <w:r w:rsidR="001D05CD" w:rsidRPr="00116D0B">
        <w:rPr>
          <w:rFonts w:ascii="Garamond" w:hAnsi="Garamond"/>
          <w:sz w:val="24"/>
          <w:szCs w:val="24"/>
        </w:rPr>
        <w:t xml:space="preserve">the </w:t>
      </w:r>
      <w:r w:rsidRPr="00116D0B">
        <w:rPr>
          <w:rFonts w:ascii="Garamond" w:hAnsi="Garamond"/>
          <w:sz w:val="24"/>
          <w:szCs w:val="24"/>
        </w:rPr>
        <w:t xml:space="preserve">respondents </w:t>
      </w:r>
      <w:r w:rsidR="001D05CD" w:rsidRPr="00116D0B">
        <w:rPr>
          <w:rFonts w:ascii="Garamond" w:hAnsi="Garamond"/>
          <w:sz w:val="24"/>
          <w:szCs w:val="24"/>
        </w:rPr>
        <w:t>across all the wards reported a</w:t>
      </w:r>
      <w:r w:rsidRPr="00116D0B">
        <w:rPr>
          <w:rFonts w:ascii="Garamond" w:hAnsi="Garamond"/>
          <w:sz w:val="24"/>
          <w:szCs w:val="24"/>
        </w:rPr>
        <w:t xml:space="preserve"> strong belief in the positive impact of the CDP process on changing perceptions. </w:t>
      </w:r>
    </w:p>
    <w:p w14:paraId="350C59EC" w14:textId="199E0337" w:rsidR="00A86BC9" w:rsidRPr="00116D0B" w:rsidRDefault="00A86BC9" w:rsidP="00A86BC9">
      <w:pPr>
        <w:tabs>
          <w:tab w:val="left" w:pos="1550"/>
        </w:tabs>
        <w:spacing w:before="240" w:after="240" w:line="276" w:lineRule="auto"/>
        <w:jc w:val="both"/>
        <w:rPr>
          <w:rFonts w:ascii="Garamond" w:hAnsi="Garamond"/>
          <w:sz w:val="24"/>
          <w:szCs w:val="24"/>
        </w:rPr>
      </w:pPr>
      <w:r w:rsidRPr="00116D0B">
        <w:rPr>
          <w:rFonts w:ascii="Garamond" w:hAnsi="Garamond"/>
          <w:sz w:val="24"/>
          <w:szCs w:val="24"/>
        </w:rPr>
        <w:t>Overall, these findings suggest that while there is a generally positive perception of the inclusion of minority groups in the CDP process and its impact on changing community perceptions.</w:t>
      </w:r>
    </w:p>
    <w:p w14:paraId="43F42860" w14:textId="698C2E7A" w:rsidR="00116D0B" w:rsidRPr="00116D0B" w:rsidRDefault="00116D0B" w:rsidP="00C27173">
      <w:pPr>
        <w:pStyle w:val="Caption"/>
      </w:pPr>
      <w:bookmarkStart w:id="97" w:name="_Toc166704053"/>
      <w:r w:rsidRPr="00116D0B">
        <w:lastRenderedPageBreak/>
        <w:t xml:space="preserve">Table </w:t>
      </w:r>
      <w:fldSimple w:instr=" SEQ Table \* ARABIC ">
        <w:r w:rsidRPr="00116D0B">
          <w:rPr>
            <w:noProof/>
          </w:rPr>
          <w:t>30</w:t>
        </w:r>
      </w:fldSimple>
      <w:r w:rsidRPr="00116D0B">
        <w:t>: Influence of CDP on inclusion</w:t>
      </w:r>
      <w:bookmarkEnd w:id="97"/>
    </w:p>
    <w:tbl>
      <w:tblPr>
        <w:tblW w:w="10250" w:type="dxa"/>
        <w:tblInd w:w="-270" w:type="dxa"/>
        <w:tblLook w:val="04A0" w:firstRow="1" w:lastRow="0" w:firstColumn="1" w:lastColumn="0" w:noHBand="0" w:noVBand="1"/>
      </w:tblPr>
      <w:tblGrid>
        <w:gridCol w:w="2520"/>
        <w:gridCol w:w="900"/>
        <w:gridCol w:w="990"/>
        <w:gridCol w:w="804"/>
        <w:gridCol w:w="946"/>
        <w:gridCol w:w="810"/>
        <w:gridCol w:w="810"/>
        <w:gridCol w:w="810"/>
        <w:gridCol w:w="804"/>
        <w:gridCol w:w="856"/>
      </w:tblGrid>
      <w:tr w:rsidR="001D05CD" w:rsidRPr="00116D0B" w14:paraId="06A56FDC" w14:textId="77777777" w:rsidTr="00116D0B">
        <w:trPr>
          <w:trHeight w:val="1450"/>
        </w:trPr>
        <w:tc>
          <w:tcPr>
            <w:tcW w:w="2520" w:type="dxa"/>
            <w:tcBorders>
              <w:top w:val="nil"/>
              <w:left w:val="nil"/>
              <w:bottom w:val="nil"/>
              <w:right w:val="nil"/>
            </w:tcBorders>
            <w:shd w:val="clear" w:color="549E39" w:fill="549E39"/>
            <w:vAlign w:val="bottom"/>
          </w:tcPr>
          <w:p w14:paraId="55914436" w14:textId="0B392DB4" w:rsidR="001D05CD" w:rsidRPr="00116D0B" w:rsidRDefault="001D05CD" w:rsidP="001D05CD">
            <w:pPr>
              <w:widowControl/>
              <w:autoSpaceDE/>
              <w:autoSpaceDN/>
              <w:rPr>
                <w:rFonts w:ascii="Garamond" w:eastAsia="Times New Roman" w:hAnsi="Garamond" w:cs="Calibri"/>
                <w:b/>
                <w:bCs/>
                <w:color w:val="FFFFFF"/>
                <w:sz w:val="24"/>
                <w:szCs w:val="24"/>
              </w:rPr>
            </w:pPr>
          </w:p>
        </w:tc>
        <w:tc>
          <w:tcPr>
            <w:tcW w:w="900" w:type="dxa"/>
            <w:tcBorders>
              <w:top w:val="nil"/>
              <w:left w:val="nil"/>
              <w:bottom w:val="nil"/>
              <w:right w:val="nil"/>
            </w:tcBorders>
            <w:shd w:val="clear" w:color="549E39" w:fill="549E39"/>
            <w:textDirection w:val="btLr"/>
            <w:vAlign w:val="bottom"/>
            <w:hideMark/>
          </w:tcPr>
          <w:p w14:paraId="40F2AE73"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Garta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Ghunchi</w:t>
            </w:r>
            <w:proofErr w:type="spellEnd"/>
          </w:p>
        </w:tc>
        <w:tc>
          <w:tcPr>
            <w:tcW w:w="990" w:type="dxa"/>
            <w:tcBorders>
              <w:top w:val="nil"/>
              <w:left w:val="nil"/>
              <w:bottom w:val="nil"/>
              <w:right w:val="nil"/>
            </w:tcBorders>
            <w:shd w:val="clear" w:color="549E39" w:fill="549E39"/>
            <w:noWrap/>
            <w:textDirection w:val="btLr"/>
            <w:vAlign w:val="bottom"/>
            <w:hideMark/>
          </w:tcPr>
          <w:p w14:paraId="391B3BA8"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Madzi</w:t>
            </w:r>
          </w:p>
        </w:tc>
        <w:tc>
          <w:tcPr>
            <w:tcW w:w="804" w:type="dxa"/>
            <w:tcBorders>
              <w:top w:val="nil"/>
              <w:left w:val="nil"/>
              <w:bottom w:val="nil"/>
              <w:right w:val="nil"/>
            </w:tcBorders>
            <w:shd w:val="clear" w:color="549E39" w:fill="549E39"/>
            <w:noWrap/>
            <w:textDirection w:val="btLr"/>
            <w:vAlign w:val="bottom"/>
            <w:hideMark/>
          </w:tcPr>
          <w:p w14:paraId="64CC799D"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Michika II</w:t>
            </w:r>
          </w:p>
        </w:tc>
        <w:tc>
          <w:tcPr>
            <w:tcW w:w="946" w:type="dxa"/>
            <w:tcBorders>
              <w:top w:val="nil"/>
              <w:left w:val="nil"/>
              <w:bottom w:val="nil"/>
              <w:right w:val="nil"/>
            </w:tcBorders>
            <w:shd w:val="clear" w:color="549E39" w:fill="549E39"/>
            <w:textDirection w:val="btLr"/>
            <w:vAlign w:val="bottom"/>
            <w:hideMark/>
          </w:tcPr>
          <w:p w14:paraId="13627738"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Minkisi</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Wuro</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Ngik</w:t>
            </w:r>
            <w:proofErr w:type="spellEnd"/>
          </w:p>
        </w:tc>
        <w:tc>
          <w:tcPr>
            <w:tcW w:w="810" w:type="dxa"/>
            <w:tcBorders>
              <w:top w:val="nil"/>
              <w:left w:val="nil"/>
              <w:bottom w:val="nil"/>
              <w:right w:val="nil"/>
            </w:tcBorders>
            <w:shd w:val="clear" w:color="549E39" w:fill="549E39"/>
            <w:noWrap/>
            <w:textDirection w:val="btLr"/>
            <w:vAlign w:val="bottom"/>
            <w:hideMark/>
          </w:tcPr>
          <w:p w14:paraId="43846A7F"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Munkavicita</w:t>
            </w:r>
            <w:proofErr w:type="spellEnd"/>
          </w:p>
        </w:tc>
        <w:tc>
          <w:tcPr>
            <w:tcW w:w="810" w:type="dxa"/>
            <w:tcBorders>
              <w:top w:val="nil"/>
              <w:left w:val="nil"/>
              <w:bottom w:val="nil"/>
              <w:right w:val="nil"/>
            </w:tcBorders>
            <w:shd w:val="clear" w:color="549E39" w:fill="549E39"/>
            <w:textDirection w:val="btLr"/>
            <w:vAlign w:val="bottom"/>
            <w:hideMark/>
          </w:tcPr>
          <w:p w14:paraId="49F66B18"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Sina/ </w:t>
            </w:r>
            <w:proofErr w:type="spellStart"/>
            <w:r w:rsidRPr="00116D0B">
              <w:rPr>
                <w:rFonts w:ascii="Garamond" w:eastAsia="Times New Roman" w:hAnsi="Garamond" w:cs="Calibri"/>
                <w:b/>
                <w:bCs/>
                <w:color w:val="FFFFFF"/>
                <w:sz w:val="24"/>
                <w:szCs w:val="24"/>
              </w:rPr>
              <w:t>kamale</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Kwande</w:t>
            </w:r>
            <w:proofErr w:type="spellEnd"/>
          </w:p>
        </w:tc>
        <w:tc>
          <w:tcPr>
            <w:tcW w:w="810" w:type="dxa"/>
            <w:tcBorders>
              <w:top w:val="nil"/>
              <w:left w:val="nil"/>
              <w:bottom w:val="nil"/>
              <w:right w:val="nil"/>
            </w:tcBorders>
            <w:shd w:val="clear" w:color="549E39" w:fill="549E39"/>
            <w:textDirection w:val="btLr"/>
            <w:vAlign w:val="bottom"/>
            <w:hideMark/>
          </w:tcPr>
          <w:p w14:paraId="0D775336"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Tumbara</w:t>
            </w:r>
            <w:proofErr w:type="spellEnd"/>
            <w:r w:rsidRPr="00116D0B">
              <w:rPr>
                <w:rFonts w:ascii="Garamond" w:eastAsia="Times New Roman" w:hAnsi="Garamond" w:cs="Calibri"/>
                <w:b/>
                <w:bCs/>
                <w:color w:val="FFFFFF"/>
                <w:sz w:val="24"/>
                <w:szCs w:val="24"/>
              </w:rPr>
              <w:t xml:space="preserve">/ </w:t>
            </w:r>
            <w:proofErr w:type="spellStart"/>
            <w:r w:rsidRPr="00116D0B">
              <w:rPr>
                <w:rFonts w:ascii="Garamond" w:eastAsia="Times New Roman" w:hAnsi="Garamond" w:cs="Calibri"/>
                <w:b/>
                <w:bCs/>
                <w:color w:val="FFFFFF"/>
                <w:sz w:val="24"/>
                <w:szCs w:val="24"/>
              </w:rPr>
              <w:t>Ngabili</w:t>
            </w:r>
            <w:proofErr w:type="spellEnd"/>
          </w:p>
        </w:tc>
        <w:tc>
          <w:tcPr>
            <w:tcW w:w="804" w:type="dxa"/>
            <w:tcBorders>
              <w:top w:val="nil"/>
              <w:left w:val="nil"/>
              <w:bottom w:val="nil"/>
              <w:right w:val="nil"/>
            </w:tcBorders>
            <w:shd w:val="clear" w:color="549E39" w:fill="549E39"/>
            <w:textDirection w:val="btLr"/>
            <w:vAlign w:val="bottom"/>
            <w:hideMark/>
          </w:tcPr>
          <w:p w14:paraId="35BFE9C7" w14:textId="77777777" w:rsidR="001D05CD" w:rsidRPr="00116D0B" w:rsidRDefault="001D05CD" w:rsidP="001D05CD">
            <w:pPr>
              <w:widowControl/>
              <w:autoSpaceDE/>
              <w:autoSpaceDN/>
              <w:jc w:val="center"/>
              <w:rPr>
                <w:rFonts w:ascii="Garamond" w:eastAsia="Times New Roman" w:hAnsi="Garamond" w:cs="Calibri"/>
                <w:b/>
                <w:bCs/>
                <w:color w:val="FFFFFF"/>
                <w:sz w:val="24"/>
                <w:szCs w:val="24"/>
              </w:rPr>
            </w:pPr>
            <w:proofErr w:type="spellStart"/>
            <w:r w:rsidRPr="00116D0B">
              <w:rPr>
                <w:rFonts w:ascii="Garamond" w:eastAsia="Times New Roman" w:hAnsi="Garamond" w:cs="Calibri"/>
                <w:b/>
                <w:bCs/>
                <w:color w:val="FFFFFF"/>
                <w:sz w:val="24"/>
                <w:szCs w:val="24"/>
              </w:rPr>
              <w:t>Wamblimi</w:t>
            </w:r>
            <w:proofErr w:type="spellEnd"/>
            <w:r w:rsidRPr="00116D0B">
              <w:rPr>
                <w:rFonts w:ascii="Garamond" w:eastAsia="Times New Roman" w:hAnsi="Garamond" w:cs="Calibri"/>
                <w:b/>
                <w:bCs/>
                <w:color w:val="FFFFFF"/>
                <w:sz w:val="24"/>
                <w:szCs w:val="24"/>
              </w:rPr>
              <w:t>/ Tilli</w:t>
            </w:r>
          </w:p>
        </w:tc>
        <w:tc>
          <w:tcPr>
            <w:tcW w:w="856" w:type="dxa"/>
            <w:tcBorders>
              <w:top w:val="nil"/>
              <w:left w:val="nil"/>
              <w:bottom w:val="nil"/>
              <w:right w:val="nil"/>
            </w:tcBorders>
            <w:shd w:val="clear" w:color="549E39" w:fill="549E39"/>
            <w:noWrap/>
            <w:vAlign w:val="bottom"/>
            <w:hideMark/>
          </w:tcPr>
          <w:p w14:paraId="1E7842C0" w14:textId="041DEA25" w:rsidR="001D05CD" w:rsidRPr="00116D0B" w:rsidRDefault="001D05CD" w:rsidP="001D05CD">
            <w:pPr>
              <w:widowControl/>
              <w:autoSpaceDE/>
              <w:autoSpaceDN/>
              <w:rPr>
                <w:rFonts w:ascii="Garamond" w:eastAsia="Times New Roman" w:hAnsi="Garamond" w:cs="Calibri"/>
                <w:b/>
                <w:bCs/>
                <w:color w:val="FFFFFF"/>
                <w:sz w:val="24"/>
                <w:szCs w:val="24"/>
              </w:rPr>
            </w:pPr>
            <w:r w:rsidRPr="00116D0B">
              <w:rPr>
                <w:rFonts w:ascii="Garamond" w:eastAsia="Times New Roman" w:hAnsi="Garamond" w:cs="Calibri"/>
                <w:b/>
                <w:bCs/>
                <w:color w:val="FFFFFF"/>
                <w:sz w:val="24"/>
                <w:szCs w:val="24"/>
              </w:rPr>
              <w:t xml:space="preserve"> Total</w:t>
            </w:r>
          </w:p>
        </w:tc>
      </w:tr>
      <w:tr w:rsidR="001D05CD" w:rsidRPr="00116D0B" w14:paraId="2A7CED45" w14:textId="77777777" w:rsidTr="00116D0B">
        <w:trPr>
          <w:trHeight w:val="290"/>
        </w:trPr>
        <w:tc>
          <w:tcPr>
            <w:tcW w:w="10250" w:type="dxa"/>
            <w:gridSpan w:val="10"/>
            <w:tcBorders>
              <w:top w:val="nil"/>
              <w:left w:val="nil"/>
              <w:bottom w:val="nil"/>
              <w:right w:val="nil"/>
            </w:tcBorders>
            <w:noWrap/>
            <w:vAlign w:val="bottom"/>
            <w:hideMark/>
          </w:tcPr>
          <w:p w14:paraId="40A58F72" w14:textId="77777777" w:rsidR="001D05CD" w:rsidRPr="00116D0B" w:rsidRDefault="001D05CD" w:rsidP="001D05CD">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Minority groups such as IDPs, PWDs, Returnees, religious minority, ethnic minorities were included in the CDP process in my wards</w:t>
            </w:r>
          </w:p>
        </w:tc>
      </w:tr>
      <w:tr w:rsidR="00CB4DA9" w:rsidRPr="00116D0B" w14:paraId="249ABB63" w14:textId="77777777" w:rsidTr="00116D0B">
        <w:trPr>
          <w:trHeight w:val="290"/>
        </w:trPr>
        <w:tc>
          <w:tcPr>
            <w:tcW w:w="2520" w:type="dxa"/>
            <w:tcBorders>
              <w:top w:val="nil"/>
              <w:left w:val="nil"/>
              <w:bottom w:val="nil"/>
              <w:right w:val="nil"/>
            </w:tcBorders>
            <w:noWrap/>
            <w:vAlign w:val="bottom"/>
            <w:hideMark/>
          </w:tcPr>
          <w:p w14:paraId="15A73647"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Strongly agree</w:t>
            </w:r>
          </w:p>
        </w:tc>
        <w:tc>
          <w:tcPr>
            <w:tcW w:w="900" w:type="dxa"/>
            <w:tcBorders>
              <w:top w:val="nil"/>
              <w:left w:val="single" w:sz="4" w:space="0" w:color="93D07B"/>
              <w:bottom w:val="nil"/>
              <w:right w:val="single" w:sz="4" w:space="0" w:color="93D07B"/>
            </w:tcBorders>
            <w:noWrap/>
            <w:vAlign w:val="bottom"/>
            <w:hideMark/>
          </w:tcPr>
          <w:p w14:paraId="4AD9FCD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44.2%</w:t>
            </w:r>
          </w:p>
        </w:tc>
        <w:tc>
          <w:tcPr>
            <w:tcW w:w="990" w:type="dxa"/>
            <w:tcBorders>
              <w:top w:val="nil"/>
              <w:left w:val="nil"/>
              <w:bottom w:val="nil"/>
              <w:right w:val="nil"/>
            </w:tcBorders>
            <w:noWrap/>
            <w:vAlign w:val="bottom"/>
            <w:hideMark/>
          </w:tcPr>
          <w:p w14:paraId="27C57CA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36.6%</w:t>
            </w:r>
          </w:p>
        </w:tc>
        <w:tc>
          <w:tcPr>
            <w:tcW w:w="804" w:type="dxa"/>
            <w:tcBorders>
              <w:top w:val="nil"/>
              <w:left w:val="single" w:sz="4" w:space="0" w:color="93D07B"/>
              <w:bottom w:val="nil"/>
              <w:right w:val="single" w:sz="4" w:space="0" w:color="93D07B"/>
            </w:tcBorders>
            <w:noWrap/>
            <w:vAlign w:val="bottom"/>
            <w:hideMark/>
          </w:tcPr>
          <w:p w14:paraId="5E4CD801"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47.3%</w:t>
            </w:r>
          </w:p>
        </w:tc>
        <w:tc>
          <w:tcPr>
            <w:tcW w:w="946" w:type="dxa"/>
            <w:tcBorders>
              <w:top w:val="nil"/>
              <w:left w:val="nil"/>
              <w:bottom w:val="nil"/>
              <w:right w:val="nil"/>
            </w:tcBorders>
            <w:noWrap/>
            <w:vAlign w:val="bottom"/>
            <w:hideMark/>
          </w:tcPr>
          <w:p w14:paraId="4507926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41.9%</w:t>
            </w:r>
          </w:p>
        </w:tc>
        <w:tc>
          <w:tcPr>
            <w:tcW w:w="810" w:type="dxa"/>
            <w:tcBorders>
              <w:top w:val="nil"/>
              <w:left w:val="single" w:sz="4" w:space="0" w:color="93D07B"/>
              <w:bottom w:val="nil"/>
              <w:right w:val="single" w:sz="4" w:space="0" w:color="93D07B"/>
            </w:tcBorders>
            <w:noWrap/>
            <w:vAlign w:val="bottom"/>
            <w:hideMark/>
          </w:tcPr>
          <w:p w14:paraId="4E89474C"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70.5%</w:t>
            </w:r>
          </w:p>
        </w:tc>
        <w:tc>
          <w:tcPr>
            <w:tcW w:w="810" w:type="dxa"/>
            <w:tcBorders>
              <w:top w:val="nil"/>
              <w:left w:val="nil"/>
              <w:bottom w:val="nil"/>
              <w:right w:val="nil"/>
            </w:tcBorders>
            <w:noWrap/>
            <w:vAlign w:val="bottom"/>
            <w:hideMark/>
          </w:tcPr>
          <w:p w14:paraId="0381177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74.4%</w:t>
            </w:r>
          </w:p>
        </w:tc>
        <w:tc>
          <w:tcPr>
            <w:tcW w:w="810" w:type="dxa"/>
            <w:tcBorders>
              <w:top w:val="nil"/>
              <w:left w:val="single" w:sz="4" w:space="0" w:color="93D07B"/>
              <w:bottom w:val="nil"/>
              <w:right w:val="single" w:sz="4" w:space="0" w:color="93D07B"/>
            </w:tcBorders>
            <w:noWrap/>
            <w:vAlign w:val="bottom"/>
            <w:hideMark/>
          </w:tcPr>
          <w:p w14:paraId="0A6CDB9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33.7%</w:t>
            </w:r>
          </w:p>
        </w:tc>
        <w:tc>
          <w:tcPr>
            <w:tcW w:w="804" w:type="dxa"/>
            <w:tcBorders>
              <w:top w:val="nil"/>
              <w:left w:val="nil"/>
              <w:bottom w:val="nil"/>
              <w:right w:val="nil"/>
            </w:tcBorders>
            <w:noWrap/>
            <w:vAlign w:val="bottom"/>
            <w:hideMark/>
          </w:tcPr>
          <w:p w14:paraId="0D30D04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22.2%</w:t>
            </w:r>
          </w:p>
        </w:tc>
        <w:tc>
          <w:tcPr>
            <w:tcW w:w="856" w:type="dxa"/>
            <w:tcBorders>
              <w:top w:val="nil"/>
              <w:left w:val="single" w:sz="4" w:space="0" w:color="93D07B"/>
              <w:bottom w:val="nil"/>
              <w:right w:val="single" w:sz="4" w:space="0" w:color="93D07B"/>
            </w:tcBorders>
            <w:noWrap/>
            <w:vAlign w:val="bottom"/>
            <w:hideMark/>
          </w:tcPr>
          <w:p w14:paraId="24B3E667"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44.6%</w:t>
            </w:r>
          </w:p>
        </w:tc>
      </w:tr>
      <w:tr w:rsidR="00CB4DA9" w:rsidRPr="00116D0B" w14:paraId="204E8BDE" w14:textId="77777777" w:rsidTr="00116D0B">
        <w:trPr>
          <w:trHeight w:val="290"/>
        </w:trPr>
        <w:tc>
          <w:tcPr>
            <w:tcW w:w="2520" w:type="dxa"/>
            <w:tcBorders>
              <w:top w:val="nil"/>
              <w:left w:val="nil"/>
              <w:bottom w:val="nil"/>
              <w:right w:val="nil"/>
            </w:tcBorders>
            <w:noWrap/>
            <w:vAlign w:val="bottom"/>
            <w:hideMark/>
          </w:tcPr>
          <w:p w14:paraId="5F1380C2"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Agree</w:t>
            </w:r>
          </w:p>
        </w:tc>
        <w:tc>
          <w:tcPr>
            <w:tcW w:w="900" w:type="dxa"/>
            <w:tcBorders>
              <w:top w:val="nil"/>
              <w:left w:val="single" w:sz="4" w:space="0" w:color="93D07B"/>
              <w:bottom w:val="nil"/>
              <w:right w:val="single" w:sz="4" w:space="0" w:color="93D07B"/>
            </w:tcBorders>
            <w:noWrap/>
            <w:vAlign w:val="bottom"/>
            <w:hideMark/>
          </w:tcPr>
          <w:p w14:paraId="0A3F6A5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51.2%</w:t>
            </w:r>
          </w:p>
        </w:tc>
        <w:tc>
          <w:tcPr>
            <w:tcW w:w="990" w:type="dxa"/>
            <w:tcBorders>
              <w:top w:val="nil"/>
              <w:left w:val="nil"/>
              <w:bottom w:val="nil"/>
              <w:right w:val="nil"/>
            </w:tcBorders>
            <w:noWrap/>
            <w:vAlign w:val="bottom"/>
            <w:hideMark/>
          </w:tcPr>
          <w:p w14:paraId="3DE0747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58.5%</w:t>
            </w:r>
          </w:p>
        </w:tc>
        <w:tc>
          <w:tcPr>
            <w:tcW w:w="804" w:type="dxa"/>
            <w:tcBorders>
              <w:top w:val="nil"/>
              <w:left w:val="single" w:sz="4" w:space="0" w:color="93D07B"/>
              <w:bottom w:val="nil"/>
              <w:right w:val="single" w:sz="4" w:space="0" w:color="93D07B"/>
            </w:tcBorders>
            <w:noWrap/>
            <w:vAlign w:val="bottom"/>
            <w:hideMark/>
          </w:tcPr>
          <w:p w14:paraId="66E0A45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50.9%</w:t>
            </w:r>
          </w:p>
        </w:tc>
        <w:tc>
          <w:tcPr>
            <w:tcW w:w="946" w:type="dxa"/>
            <w:tcBorders>
              <w:top w:val="nil"/>
              <w:left w:val="nil"/>
              <w:bottom w:val="nil"/>
              <w:right w:val="nil"/>
            </w:tcBorders>
            <w:noWrap/>
            <w:vAlign w:val="bottom"/>
            <w:hideMark/>
          </w:tcPr>
          <w:p w14:paraId="530C7BE9"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58.1%</w:t>
            </w:r>
          </w:p>
        </w:tc>
        <w:tc>
          <w:tcPr>
            <w:tcW w:w="810" w:type="dxa"/>
            <w:tcBorders>
              <w:top w:val="nil"/>
              <w:left w:val="single" w:sz="4" w:space="0" w:color="93D07B"/>
              <w:bottom w:val="nil"/>
              <w:right w:val="single" w:sz="4" w:space="0" w:color="93D07B"/>
            </w:tcBorders>
            <w:noWrap/>
            <w:vAlign w:val="bottom"/>
            <w:hideMark/>
          </w:tcPr>
          <w:p w14:paraId="20FA743C"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22.7%</w:t>
            </w:r>
          </w:p>
        </w:tc>
        <w:tc>
          <w:tcPr>
            <w:tcW w:w="810" w:type="dxa"/>
            <w:tcBorders>
              <w:top w:val="nil"/>
              <w:left w:val="nil"/>
              <w:bottom w:val="nil"/>
              <w:right w:val="nil"/>
            </w:tcBorders>
            <w:noWrap/>
            <w:vAlign w:val="bottom"/>
            <w:hideMark/>
          </w:tcPr>
          <w:p w14:paraId="4349EC6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25.6%</w:t>
            </w:r>
          </w:p>
        </w:tc>
        <w:tc>
          <w:tcPr>
            <w:tcW w:w="810" w:type="dxa"/>
            <w:tcBorders>
              <w:top w:val="nil"/>
              <w:left w:val="single" w:sz="4" w:space="0" w:color="93D07B"/>
              <w:bottom w:val="nil"/>
              <w:right w:val="single" w:sz="4" w:space="0" w:color="93D07B"/>
            </w:tcBorders>
            <w:noWrap/>
            <w:vAlign w:val="bottom"/>
            <w:hideMark/>
          </w:tcPr>
          <w:p w14:paraId="05FFE82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63.4%</w:t>
            </w:r>
          </w:p>
        </w:tc>
        <w:tc>
          <w:tcPr>
            <w:tcW w:w="804" w:type="dxa"/>
            <w:tcBorders>
              <w:top w:val="nil"/>
              <w:left w:val="nil"/>
              <w:bottom w:val="nil"/>
              <w:right w:val="nil"/>
            </w:tcBorders>
            <w:noWrap/>
            <w:vAlign w:val="bottom"/>
            <w:hideMark/>
          </w:tcPr>
          <w:p w14:paraId="45797F0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73.3%</w:t>
            </w:r>
          </w:p>
        </w:tc>
        <w:tc>
          <w:tcPr>
            <w:tcW w:w="856" w:type="dxa"/>
            <w:tcBorders>
              <w:top w:val="nil"/>
              <w:left w:val="single" w:sz="4" w:space="0" w:color="93D07B"/>
              <w:bottom w:val="nil"/>
              <w:right w:val="single" w:sz="4" w:space="0" w:color="93D07B"/>
            </w:tcBorders>
            <w:noWrap/>
            <w:vAlign w:val="bottom"/>
            <w:hideMark/>
          </w:tcPr>
          <w:p w14:paraId="610BE49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52.3%</w:t>
            </w:r>
          </w:p>
        </w:tc>
      </w:tr>
      <w:tr w:rsidR="00CB4DA9" w:rsidRPr="00116D0B" w14:paraId="0DC0D250" w14:textId="77777777" w:rsidTr="00116D0B">
        <w:trPr>
          <w:trHeight w:val="290"/>
        </w:trPr>
        <w:tc>
          <w:tcPr>
            <w:tcW w:w="2520" w:type="dxa"/>
            <w:tcBorders>
              <w:top w:val="nil"/>
              <w:left w:val="nil"/>
              <w:bottom w:val="nil"/>
              <w:right w:val="nil"/>
            </w:tcBorders>
            <w:noWrap/>
            <w:vAlign w:val="bottom"/>
            <w:hideMark/>
          </w:tcPr>
          <w:p w14:paraId="005890E7"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Indifferent</w:t>
            </w:r>
          </w:p>
        </w:tc>
        <w:tc>
          <w:tcPr>
            <w:tcW w:w="900" w:type="dxa"/>
            <w:tcBorders>
              <w:top w:val="nil"/>
              <w:left w:val="single" w:sz="4" w:space="0" w:color="93D07B"/>
              <w:bottom w:val="nil"/>
              <w:right w:val="single" w:sz="4" w:space="0" w:color="93D07B"/>
            </w:tcBorders>
            <w:noWrap/>
            <w:vAlign w:val="bottom"/>
            <w:hideMark/>
          </w:tcPr>
          <w:p w14:paraId="60BBABC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w:t>
            </w:r>
          </w:p>
        </w:tc>
        <w:tc>
          <w:tcPr>
            <w:tcW w:w="990" w:type="dxa"/>
            <w:tcBorders>
              <w:top w:val="nil"/>
              <w:left w:val="nil"/>
              <w:bottom w:val="nil"/>
              <w:right w:val="nil"/>
            </w:tcBorders>
            <w:noWrap/>
            <w:vAlign w:val="bottom"/>
            <w:hideMark/>
          </w:tcPr>
          <w:p w14:paraId="1ABAFF64"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w:t>
            </w:r>
          </w:p>
        </w:tc>
        <w:tc>
          <w:tcPr>
            <w:tcW w:w="804" w:type="dxa"/>
            <w:tcBorders>
              <w:top w:val="nil"/>
              <w:left w:val="single" w:sz="4" w:space="0" w:color="93D07B"/>
              <w:bottom w:val="nil"/>
              <w:right w:val="single" w:sz="4" w:space="0" w:color="93D07B"/>
            </w:tcBorders>
            <w:noWrap/>
            <w:vAlign w:val="bottom"/>
            <w:hideMark/>
          </w:tcPr>
          <w:p w14:paraId="12E4635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1.8%</w:t>
            </w:r>
          </w:p>
        </w:tc>
        <w:tc>
          <w:tcPr>
            <w:tcW w:w="946" w:type="dxa"/>
            <w:tcBorders>
              <w:top w:val="nil"/>
              <w:left w:val="nil"/>
              <w:bottom w:val="nil"/>
              <w:right w:val="nil"/>
            </w:tcBorders>
            <w:noWrap/>
            <w:vAlign w:val="bottom"/>
            <w:hideMark/>
          </w:tcPr>
          <w:p w14:paraId="5EC4BDE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nil"/>
              <w:right w:val="single" w:sz="4" w:space="0" w:color="93D07B"/>
            </w:tcBorders>
            <w:noWrap/>
            <w:vAlign w:val="bottom"/>
            <w:hideMark/>
          </w:tcPr>
          <w:p w14:paraId="3CB71074"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55FF066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nil"/>
              <w:right w:val="single" w:sz="4" w:space="0" w:color="93D07B"/>
            </w:tcBorders>
            <w:noWrap/>
            <w:vAlign w:val="bottom"/>
            <w:hideMark/>
          </w:tcPr>
          <w:p w14:paraId="33A6B76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nil"/>
              <w:bottom w:val="nil"/>
              <w:right w:val="nil"/>
            </w:tcBorders>
            <w:noWrap/>
            <w:vAlign w:val="bottom"/>
            <w:hideMark/>
          </w:tcPr>
          <w:p w14:paraId="1DD7A80B"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4.4%</w:t>
            </w:r>
          </w:p>
        </w:tc>
        <w:tc>
          <w:tcPr>
            <w:tcW w:w="856" w:type="dxa"/>
            <w:tcBorders>
              <w:top w:val="nil"/>
              <w:left w:val="single" w:sz="4" w:space="0" w:color="93D07B"/>
              <w:bottom w:val="nil"/>
              <w:right w:val="single" w:sz="4" w:space="0" w:color="93D07B"/>
            </w:tcBorders>
            <w:noWrap/>
            <w:vAlign w:val="bottom"/>
            <w:hideMark/>
          </w:tcPr>
          <w:p w14:paraId="7556607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w:t>
            </w:r>
          </w:p>
        </w:tc>
      </w:tr>
      <w:tr w:rsidR="00CB4DA9" w:rsidRPr="00116D0B" w14:paraId="41674F52" w14:textId="77777777" w:rsidTr="00116D0B">
        <w:trPr>
          <w:trHeight w:val="290"/>
        </w:trPr>
        <w:tc>
          <w:tcPr>
            <w:tcW w:w="2520" w:type="dxa"/>
            <w:tcBorders>
              <w:top w:val="nil"/>
              <w:left w:val="nil"/>
              <w:bottom w:val="nil"/>
              <w:right w:val="nil"/>
            </w:tcBorders>
            <w:noWrap/>
            <w:vAlign w:val="bottom"/>
            <w:hideMark/>
          </w:tcPr>
          <w:p w14:paraId="39510960"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Disagree</w:t>
            </w:r>
          </w:p>
        </w:tc>
        <w:tc>
          <w:tcPr>
            <w:tcW w:w="900" w:type="dxa"/>
            <w:tcBorders>
              <w:top w:val="nil"/>
              <w:left w:val="single" w:sz="4" w:space="0" w:color="93D07B"/>
              <w:bottom w:val="nil"/>
              <w:right w:val="single" w:sz="4" w:space="0" w:color="93D07B"/>
            </w:tcBorders>
            <w:noWrap/>
            <w:vAlign w:val="bottom"/>
            <w:hideMark/>
          </w:tcPr>
          <w:p w14:paraId="74E17832"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90" w:type="dxa"/>
            <w:tcBorders>
              <w:top w:val="nil"/>
              <w:left w:val="nil"/>
              <w:bottom w:val="nil"/>
              <w:right w:val="nil"/>
            </w:tcBorders>
            <w:noWrap/>
            <w:vAlign w:val="bottom"/>
            <w:hideMark/>
          </w:tcPr>
          <w:p w14:paraId="08CD0B9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single" w:sz="4" w:space="0" w:color="93D07B"/>
              <w:bottom w:val="nil"/>
              <w:right w:val="single" w:sz="4" w:space="0" w:color="93D07B"/>
            </w:tcBorders>
            <w:noWrap/>
            <w:vAlign w:val="bottom"/>
            <w:hideMark/>
          </w:tcPr>
          <w:p w14:paraId="3D41F88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46" w:type="dxa"/>
            <w:tcBorders>
              <w:top w:val="nil"/>
              <w:left w:val="nil"/>
              <w:bottom w:val="nil"/>
              <w:right w:val="nil"/>
            </w:tcBorders>
            <w:noWrap/>
            <w:vAlign w:val="bottom"/>
            <w:hideMark/>
          </w:tcPr>
          <w:p w14:paraId="26E7D24C"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nil"/>
              <w:right w:val="single" w:sz="4" w:space="0" w:color="93D07B"/>
            </w:tcBorders>
            <w:noWrap/>
            <w:vAlign w:val="bottom"/>
            <w:hideMark/>
          </w:tcPr>
          <w:p w14:paraId="267B6821"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w:t>
            </w:r>
          </w:p>
        </w:tc>
        <w:tc>
          <w:tcPr>
            <w:tcW w:w="810" w:type="dxa"/>
            <w:tcBorders>
              <w:top w:val="nil"/>
              <w:left w:val="nil"/>
              <w:bottom w:val="nil"/>
              <w:right w:val="nil"/>
            </w:tcBorders>
            <w:noWrap/>
            <w:vAlign w:val="bottom"/>
            <w:hideMark/>
          </w:tcPr>
          <w:p w14:paraId="67568E81"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nil"/>
              <w:right w:val="single" w:sz="4" w:space="0" w:color="93D07B"/>
            </w:tcBorders>
            <w:noWrap/>
            <w:vAlign w:val="bottom"/>
            <w:hideMark/>
          </w:tcPr>
          <w:p w14:paraId="7EA5E6D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2.0%</w:t>
            </w:r>
          </w:p>
        </w:tc>
        <w:tc>
          <w:tcPr>
            <w:tcW w:w="804" w:type="dxa"/>
            <w:tcBorders>
              <w:top w:val="nil"/>
              <w:left w:val="nil"/>
              <w:bottom w:val="nil"/>
              <w:right w:val="nil"/>
            </w:tcBorders>
            <w:noWrap/>
            <w:vAlign w:val="bottom"/>
            <w:hideMark/>
          </w:tcPr>
          <w:p w14:paraId="3D96C417"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56" w:type="dxa"/>
            <w:tcBorders>
              <w:top w:val="nil"/>
              <w:left w:val="single" w:sz="4" w:space="0" w:color="93D07B"/>
              <w:bottom w:val="nil"/>
              <w:right w:val="single" w:sz="4" w:space="0" w:color="93D07B"/>
            </w:tcBorders>
            <w:noWrap/>
            <w:vAlign w:val="bottom"/>
            <w:hideMark/>
          </w:tcPr>
          <w:p w14:paraId="5BED807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1.2%</w:t>
            </w:r>
          </w:p>
        </w:tc>
      </w:tr>
      <w:tr w:rsidR="00CB4DA9" w:rsidRPr="00116D0B" w14:paraId="1535A281" w14:textId="77777777" w:rsidTr="00116D0B">
        <w:trPr>
          <w:trHeight w:val="300"/>
        </w:trPr>
        <w:tc>
          <w:tcPr>
            <w:tcW w:w="2520" w:type="dxa"/>
            <w:tcBorders>
              <w:top w:val="nil"/>
              <w:left w:val="nil"/>
              <w:bottom w:val="single" w:sz="8" w:space="0" w:color="549E39"/>
              <w:right w:val="nil"/>
            </w:tcBorders>
            <w:noWrap/>
            <w:vAlign w:val="bottom"/>
            <w:hideMark/>
          </w:tcPr>
          <w:p w14:paraId="335AC5B2"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Strongly Disagree</w:t>
            </w:r>
          </w:p>
        </w:tc>
        <w:tc>
          <w:tcPr>
            <w:tcW w:w="900" w:type="dxa"/>
            <w:tcBorders>
              <w:top w:val="nil"/>
              <w:left w:val="single" w:sz="4" w:space="0" w:color="93D07B"/>
              <w:bottom w:val="single" w:sz="8" w:space="0" w:color="549E39"/>
              <w:right w:val="single" w:sz="4" w:space="0" w:color="93D07B"/>
            </w:tcBorders>
            <w:noWrap/>
            <w:vAlign w:val="bottom"/>
            <w:hideMark/>
          </w:tcPr>
          <w:p w14:paraId="3C5F0D63"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90" w:type="dxa"/>
            <w:tcBorders>
              <w:top w:val="nil"/>
              <w:left w:val="nil"/>
              <w:bottom w:val="single" w:sz="8" w:space="0" w:color="549E39"/>
              <w:right w:val="nil"/>
            </w:tcBorders>
            <w:noWrap/>
            <w:vAlign w:val="bottom"/>
            <w:hideMark/>
          </w:tcPr>
          <w:p w14:paraId="259172F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w:t>
            </w:r>
          </w:p>
        </w:tc>
        <w:tc>
          <w:tcPr>
            <w:tcW w:w="804" w:type="dxa"/>
            <w:tcBorders>
              <w:top w:val="nil"/>
              <w:left w:val="single" w:sz="4" w:space="0" w:color="93D07B"/>
              <w:bottom w:val="single" w:sz="8" w:space="0" w:color="549E39"/>
              <w:right w:val="single" w:sz="4" w:space="0" w:color="93D07B"/>
            </w:tcBorders>
            <w:noWrap/>
            <w:vAlign w:val="bottom"/>
            <w:hideMark/>
          </w:tcPr>
          <w:p w14:paraId="57F566EB"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46" w:type="dxa"/>
            <w:tcBorders>
              <w:top w:val="nil"/>
              <w:left w:val="nil"/>
              <w:bottom w:val="single" w:sz="8" w:space="0" w:color="549E39"/>
              <w:right w:val="nil"/>
            </w:tcBorders>
            <w:noWrap/>
            <w:vAlign w:val="bottom"/>
            <w:hideMark/>
          </w:tcPr>
          <w:p w14:paraId="7C7A2DB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single" w:sz="8" w:space="0" w:color="549E39"/>
              <w:right w:val="single" w:sz="4" w:space="0" w:color="93D07B"/>
            </w:tcBorders>
            <w:noWrap/>
            <w:vAlign w:val="bottom"/>
            <w:hideMark/>
          </w:tcPr>
          <w:p w14:paraId="7639D332"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single" w:sz="8" w:space="0" w:color="549E39"/>
              <w:right w:val="nil"/>
            </w:tcBorders>
            <w:noWrap/>
            <w:vAlign w:val="bottom"/>
            <w:hideMark/>
          </w:tcPr>
          <w:p w14:paraId="23682B1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single" w:sz="4" w:space="0" w:color="93D07B"/>
              <w:bottom w:val="single" w:sz="8" w:space="0" w:color="549E39"/>
              <w:right w:val="single" w:sz="4" w:space="0" w:color="93D07B"/>
            </w:tcBorders>
            <w:noWrap/>
            <w:vAlign w:val="bottom"/>
            <w:hideMark/>
          </w:tcPr>
          <w:p w14:paraId="6E48CF1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c>
          <w:tcPr>
            <w:tcW w:w="804" w:type="dxa"/>
            <w:tcBorders>
              <w:top w:val="nil"/>
              <w:left w:val="nil"/>
              <w:bottom w:val="single" w:sz="8" w:space="0" w:color="549E39"/>
              <w:right w:val="nil"/>
            </w:tcBorders>
            <w:noWrap/>
            <w:vAlign w:val="bottom"/>
            <w:hideMark/>
          </w:tcPr>
          <w:p w14:paraId="7A3C993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56" w:type="dxa"/>
            <w:tcBorders>
              <w:top w:val="nil"/>
              <w:left w:val="single" w:sz="4" w:space="0" w:color="93D07B"/>
              <w:bottom w:val="single" w:sz="8" w:space="0" w:color="549E39"/>
              <w:right w:val="single" w:sz="4" w:space="0" w:color="93D07B"/>
            </w:tcBorders>
            <w:noWrap/>
            <w:vAlign w:val="bottom"/>
            <w:hideMark/>
          </w:tcPr>
          <w:p w14:paraId="01CF9FE4"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0.5%</w:t>
            </w:r>
          </w:p>
        </w:tc>
      </w:tr>
      <w:tr w:rsidR="001D05CD" w:rsidRPr="00116D0B" w14:paraId="589F7E5E" w14:textId="77777777" w:rsidTr="00116D0B">
        <w:trPr>
          <w:trHeight w:val="290"/>
        </w:trPr>
        <w:tc>
          <w:tcPr>
            <w:tcW w:w="10250" w:type="dxa"/>
            <w:gridSpan w:val="10"/>
            <w:tcBorders>
              <w:top w:val="single" w:sz="8" w:space="0" w:color="549E39"/>
              <w:left w:val="nil"/>
              <w:bottom w:val="nil"/>
              <w:right w:val="nil"/>
            </w:tcBorders>
            <w:noWrap/>
            <w:vAlign w:val="bottom"/>
            <w:hideMark/>
          </w:tcPr>
          <w:p w14:paraId="45A7FCF1" w14:textId="77777777" w:rsidR="001D05CD" w:rsidRPr="00116D0B" w:rsidRDefault="001D05CD" w:rsidP="001D05CD">
            <w:pPr>
              <w:widowControl/>
              <w:autoSpaceDE/>
              <w:autoSpaceDN/>
              <w:rPr>
                <w:rFonts w:ascii="Garamond" w:eastAsia="Times New Roman" w:hAnsi="Garamond" w:cs="Calibri"/>
                <w:b/>
                <w:bCs/>
                <w:color w:val="000000"/>
                <w:sz w:val="24"/>
                <w:szCs w:val="24"/>
              </w:rPr>
            </w:pPr>
            <w:r w:rsidRPr="00116D0B">
              <w:rPr>
                <w:rFonts w:ascii="Garamond" w:eastAsia="Times New Roman" w:hAnsi="Garamond" w:cs="Calibri"/>
                <w:b/>
                <w:bCs/>
                <w:color w:val="000000"/>
                <w:sz w:val="24"/>
                <w:szCs w:val="24"/>
              </w:rPr>
              <w:t>The CDP process has facilitated in changes in the perception of community people regarding inclusion and participation of marginalized people.</w:t>
            </w:r>
          </w:p>
        </w:tc>
      </w:tr>
      <w:tr w:rsidR="00CB4DA9" w:rsidRPr="00116D0B" w14:paraId="7A046CF0" w14:textId="77777777" w:rsidTr="00116D0B">
        <w:trPr>
          <w:trHeight w:val="290"/>
        </w:trPr>
        <w:tc>
          <w:tcPr>
            <w:tcW w:w="2520" w:type="dxa"/>
            <w:tcBorders>
              <w:top w:val="nil"/>
              <w:left w:val="nil"/>
              <w:bottom w:val="nil"/>
              <w:right w:val="nil"/>
            </w:tcBorders>
            <w:noWrap/>
            <w:vAlign w:val="bottom"/>
            <w:hideMark/>
          </w:tcPr>
          <w:p w14:paraId="79BFCDA9"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Strongly agree</w:t>
            </w:r>
          </w:p>
        </w:tc>
        <w:tc>
          <w:tcPr>
            <w:tcW w:w="900" w:type="dxa"/>
            <w:tcBorders>
              <w:top w:val="nil"/>
              <w:left w:val="nil"/>
              <w:bottom w:val="nil"/>
              <w:right w:val="nil"/>
            </w:tcBorders>
            <w:noWrap/>
            <w:vAlign w:val="bottom"/>
            <w:hideMark/>
          </w:tcPr>
          <w:p w14:paraId="4E41D3B7"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30.2%</w:t>
            </w:r>
          </w:p>
        </w:tc>
        <w:tc>
          <w:tcPr>
            <w:tcW w:w="990" w:type="dxa"/>
            <w:tcBorders>
              <w:top w:val="nil"/>
              <w:left w:val="nil"/>
              <w:bottom w:val="nil"/>
              <w:right w:val="nil"/>
            </w:tcBorders>
            <w:noWrap/>
            <w:vAlign w:val="bottom"/>
            <w:hideMark/>
          </w:tcPr>
          <w:p w14:paraId="4E63EF1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29.3%</w:t>
            </w:r>
          </w:p>
        </w:tc>
        <w:tc>
          <w:tcPr>
            <w:tcW w:w="804" w:type="dxa"/>
            <w:tcBorders>
              <w:top w:val="nil"/>
              <w:left w:val="nil"/>
              <w:bottom w:val="nil"/>
              <w:right w:val="nil"/>
            </w:tcBorders>
            <w:noWrap/>
            <w:vAlign w:val="bottom"/>
            <w:hideMark/>
          </w:tcPr>
          <w:p w14:paraId="6AD9315B"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49.1%</w:t>
            </w:r>
          </w:p>
        </w:tc>
        <w:tc>
          <w:tcPr>
            <w:tcW w:w="946" w:type="dxa"/>
            <w:tcBorders>
              <w:top w:val="nil"/>
              <w:left w:val="nil"/>
              <w:bottom w:val="nil"/>
              <w:right w:val="nil"/>
            </w:tcBorders>
            <w:noWrap/>
            <w:vAlign w:val="bottom"/>
            <w:hideMark/>
          </w:tcPr>
          <w:p w14:paraId="294759A2"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37.2%</w:t>
            </w:r>
          </w:p>
        </w:tc>
        <w:tc>
          <w:tcPr>
            <w:tcW w:w="810" w:type="dxa"/>
            <w:tcBorders>
              <w:top w:val="nil"/>
              <w:left w:val="nil"/>
              <w:bottom w:val="nil"/>
              <w:right w:val="nil"/>
            </w:tcBorders>
            <w:noWrap/>
            <w:vAlign w:val="bottom"/>
            <w:hideMark/>
          </w:tcPr>
          <w:p w14:paraId="3146732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45.5%</w:t>
            </w:r>
          </w:p>
        </w:tc>
        <w:tc>
          <w:tcPr>
            <w:tcW w:w="810" w:type="dxa"/>
            <w:tcBorders>
              <w:top w:val="nil"/>
              <w:left w:val="nil"/>
              <w:bottom w:val="nil"/>
              <w:right w:val="nil"/>
            </w:tcBorders>
            <w:noWrap/>
            <w:vAlign w:val="bottom"/>
            <w:hideMark/>
          </w:tcPr>
          <w:p w14:paraId="76BC1D5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67.4%</w:t>
            </w:r>
          </w:p>
        </w:tc>
        <w:tc>
          <w:tcPr>
            <w:tcW w:w="810" w:type="dxa"/>
            <w:tcBorders>
              <w:top w:val="nil"/>
              <w:left w:val="nil"/>
              <w:bottom w:val="nil"/>
              <w:right w:val="nil"/>
            </w:tcBorders>
            <w:noWrap/>
            <w:vAlign w:val="bottom"/>
            <w:hideMark/>
          </w:tcPr>
          <w:p w14:paraId="29BF9191"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29.7%</w:t>
            </w:r>
          </w:p>
        </w:tc>
        <w:tc>
          <w:tcPr>
            <w:tcW w:w="804" w:type="dxa"/>
            <w:tcBorders>
              <w:top w:val="nil"/>
              <w:left w:val="nil"/>
              <w:bottom w:val="nil"/>
              <w:right w:val="nil"/>
            </w:tcBorders>
            <w:noWrap/>
            <w:vAlign w:val="bottom"/>
            <w:hideMark/>
          </w:tcPr>
          <w:p w14:paraId="3540293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17.8%</w:t>
            </w:r>
          </w:p>
        </w:tc>
        <w:tc>
          <w:tcPr>
            <w:tcW w:w="856" w:type="dxa"/>
            <w:tcBorders>
              <w:top w:val="nil"/>
              <w:left w:val="nil"/>
              <w:bottom w:val="nil"/>
              <w:right w:val="nil"/>
            </w:tcBorders>
            <w:noWrap/>
            <w:vAlign w:val="bottom"/>
            <w:hideMark/>
          </w:tcPr>
          <w:p w14:paraId="797AE08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37.3%</w:t>
            </w:r>
          </w:p>
        </w:tc>
      </w:tr>
      <w:tr w:rsidR="00CB4DA9" w:rsidRPr="00116D0B" w14:paraId="6F6394EA" w14:textId="77777777" w:rsidTr="00116D0B">
        <w:trPr>
          <w:trHeight w:val="290"/>
        </w:trPr>
        <w:tc>
          <w:tcPr>
            <w:tcW w:w="2520" w:type="dxa"/>
            <w:tcBorders>
              <w:top w:val="nil"/>
              <w:left w:val="nil"/>
              <w:bottom w:val="nil"/>
              <w:right w:val="nil"/>
            </w:tcBorders>
            <w:noWrap/>
            <w:vAlign w:val="bottom"/>
            <w:hideMark/>
          </w:tcPr>
          <w:p w14:paraId="16D4218F"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Agree</w:t>
            </w:r>
          </w:p>
        </w:tc>
        <w:tc>
          <w:tcPr>
            <w:tcW w:w="900" w:type="dxa"/>
            <w:tcBorders>
              <w:top w:val="nil"/>
              <w:left w:val="nil"/>
              <w:bottom w:val="nil"/>
              <w:right w:val="nil"/>
            </w:tcBorders>
            <w:noWrap/>
            <w:vAlign w:val="bottom"/>
            <w:hideMark/>
          </w:tcPr>
          <w:p w14:paraId="631833DA"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62.8%</w:t>
            </w:r>
          </w:p>
        </w:tc>
        <w:tc>
          <w:tcPr>
            <w:tcW w:w="990" w:type="dxa"/>
            <w:tcBorders>
              <w:top w:val="nil"/>
              <w:left w:val="nil"/>
              <w:bottom w:val="nil"/>
              <w:right w:val="nil"/>
            </w:tcBorders>
            <w:noWrap/>
            <w:vAlign w:val="bottom"/>
            <w:hideMark/>
          </w:tcPr>
          <w:p w14:paraId="328A2849"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68.3%</w:t>
            </w:r>
          </w:p>
        </w:tc>
        <w:tc>
          <w:tcPr>
            <w:tcW w:w="804" w:type="dxa"/>
            <w:tcBorders>
              <w:top w:val="nil"/>
              <w:left w:val="nil"/>
              <w:bottom w:val="nil"/>
              <w:right w:val="nil"/>
            </w:tcBorders>
            <w:noWrap/>
            <w:vAlign w:val="bottom"/>
            <w:hideMark/>
          </w:tcPr>
          <w:p w14:paraId="7938362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45.5%</w:t>
            </w:r>
          </w:p>
        </w:tc>
        <w:tc>
          <w:tcPr>
            <w:tcW w:w="946" w:type="dxa"/>
            <w:tcBorders>
              <w:top w:val="nil"/>
              <w:left w:val="nil"/>
              <w:bottom w:val="nil"/>
              <w:right w:val="nil"/>
            </w:tcBorders>
            <w:noWrap/>
            <w:vAlign w:val="bottom"/>
            <w:hideMark/>
          </w:tcPr>
          <w:p w14:paraId="7C8395B8"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62.8%</w:t>
            </w:r>
          </w:p>
        </w:tc>
        <w:tc>
          <w:tcPr>
            <w:tcW w:w="810" w:type="dxa"/>
            <w:tcBorders>
              <w:top w:val="nil"/>
              <w:left w:val="nil"/>
              <w:bottom w:val="nil"/>
              <w:right w:val="nil"/>
            </w:tcBorders>
            <w:noWrap/>
            <w:vAlign w:val="bottom"/>
            <w:hideMark/>
          </w:tcPr>
          <w:p w14:paraId="5F139C5E"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54.5%</w:t>
            </w:r>
          </w:p>
        </w:tc>
        <w:tc>
          <w:tcPr>
            <w:tcW w:w="810" w:type="dxa"/>
            <w:tcBorders>
              <w:top w:val="nil"/>
              <w:left w:val="nil"/>
              <w:bottom w:val="nil"/>
              <w:right w:val="nil"/>
            </w:tcBorders>
            <w:noWrap/>
            <w:vAlign w:val="bottom"/>
            <w:hideMark/>
          </w:tcPr>
          <w:p w14:paraId="0E62AAFA"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32.6%</w:t>
            </w:r>
          </w:p>
        </w:tc>
        <w:tc>
          <w:tcPr>
            <w:tcW w:w="810" w:type="dxa"/>
            <w:tcBorders>
              <w:top w:val="nil"/>
              <w:left w:val="nil"/>
              <w:bottom w:val="nil"/>
              <w:right w:val="nil"/>
            </w:tcBorders>
            <w:noWrap/>
            <w:vAlign w:val="bottom"/>
            <w:hideMark/>
          </w:tcPr>
          <w:p w14:paraId="7A45F0B7"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69.3%</w:t>
            </w:r>
          </w:p>
        </w:tc>
        <w:tc>
          <w:tcPr>
            <w:tcW w:w="804" w:type="dxa"/>
            <w:tcBorders>
              <w:top w:val="nil"/>
              <w:left w:val="nil"/>
              <w:bottom w:val="nil"/>
              <w:right w:val="nil"/>
            </w:tcBorders>
            <w:noWrap/>
            <w:vAlign w:val="bottom"/>
            <w:hideMark/>
          </w:tcPr>
          <w:p w14:paraId="683089A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82.2%</w:t>
            </w:r>
          </w:p>
        </w:tc>
        <w:tc>
          <w:tcPr>
            <w:tcW w:w="856" w:type="dxa"/>
            <w:tcBorders>
              <w:top w:val="nil"/>
              <w:left w:val="nil"/>
              <w:bottom w:val="nil"/>
              <w:right w:val="nil"/>
            </w:tcBorders>
            <w:noWrap/>
            <w:vAlign w:val="bottom"/>
            <w:hideMark/>
          </w:tcPr>
          <w:p w14:paraId="291D982C"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60.7%</w:t>
            </w:r>
          </w:p>
        </w:tc>
      </w:tr>
      <w:tr w:rsidR="00CB4DA9" w:rsidRPr="00116D0B" w14:paraId="473EAEB2" w14:textId="77777777" w:rsidTr="00116D0B">
        <w:trPr>
          <w:trHeight w:val="290"/>
        </w:trPr>
        <w:tc>
          <w:tcPr>
            <w:tcW w:w="2520" w:type="dxa"/>
            <w:tcBorders>
              <w:top w:val="nil"/>
              <w:left w:val="nil"/>
              <w:bottom w:val="nil"/>
              <w:right w:val="nil"/>
            </w:tcBorders>
            <w:noWrap/>
            <w:vAlign w:val="bottom"/>
            <w:hideMark/>
          </w:tcPr>
          <w:p w14:paraId="5A54D968"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Indifferent</w:t>
            </w:r>
          </w:p>
        </w:tc>
        <w:tc>
          <w:tcPr>
            <w:tcW w:w="900" w:type="dxa"/>
            <w:tcBorders>
              <w:top w:val="nil"/>
              <w:left w:val="nil"/>
              <w:bottom w:val="nil"/>
              <w:right w:val="nil"/>
            </w:tcBorders>
            <w:noWrap/>
            <w:vAlign w:val="bottom"/>
            <w:hideMark/>
          </w:tcPr>
          <w:p w14:paraId="0425432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4.7%</w:t>
            </w:r>
          </w:p>
        </w:tc>
        <w:tc>
          <w:tcPr>
            <w:tcW w:w="990" w:type="dxa"/>
            <w:tcBorders>
              <w:top w:val="nil"/>
              <w:left w:val="nil"/>
              <w:bottom w:val="nil"/>
              <w:right w:val="nil"/>
            </w:tcBorders>
            <w:noWrap/>
            <w:vAlign w:val="bottom"/>
            <w:hideMark/>
          </w:tcPr>
          <w:p w14:paraId="248CDC0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2.4%</w:t>
            </w:r>
          </w:p>
        </w:tc>
        <w:tc>
          <w:tcPr>
            <w:tcW w:w="804" w:type="dxa"/>
            <w:tcBorders>
              <w:top w:val="nil"/>
              <w:left w:val="nil"/>
              <w:bottom w:val="nil"/>
              <w:right w:val="nil"/>
            </w:tcBorders>
            <w:noWrap/>
            <w:vAlign w:val="bottom"/>
            <w:hideMark/>
          </w:tcPr>
          <w:p w14:paraId="4AE18AE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5.5%</w:t>
            </w:r>
          </w:p>
        </w:tc>
        <w:tc>
          <w:tcPr>
            <w:tcW w:w="946" w:type="dxa"/>
            <w:tcBorders>
              <w:top w:val="nil"/>
              <w:left w:val="nil"/>
              <w:bottom w:val="nil"/>
              <w:right w:val="nil"/>
            </w:tcBorders>
            <w:noWrap/>
            <w:vAlign w:val="bottom"/>
            <w:hideMark/>
          </w:tcPr>
          <w:p w14:paraId="499A86A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482C7A2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6D560613"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1833E8B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nil"/>
              <w:bottom w:val="nil"/>
              <w:right w:val="nil"/>
            </w:tcBorders>
            <w:noWrap/>
            <w:vAlign w:val="bottom"/>
            <w:hideMark/>
          </w:tcPr>
          <w:p w14:paraId="1A725D10"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56" w:type="dxa"/>
            <w:tcBorders>
              <w:top w:val="nil"/>
              <w:left w:val="nil"/>
              <w:bottom w:val="nil"/>
              <w:right w:val="nil"/>
            </w:tcBorders>
            <w:noWrap/>
            <w:vAlign w:val="bottom"/>
            <w:hideMark/>
          </w:tcPr>
          <w:p w14:paraId="30690056"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1.4%</w:t>
            </w:r>
          </w:p>
        </w:tc>
      </w:tr>
      <w:tr w:rsidR="00CB4DA9" w:rsidRPr="00116D0B" w14:paraId="3ED140D7" w14:textId="77777777" w:rsidTr="00116D0B">
        <w:trPr>
          <w:trHeight w:val="290"/>
        </w:trPr>
        <w:tc>
          <w:tcPr>
            <w:tcW w:w="2520" w:type="dxa"/>
            <w:tcBorders>
              <w:top w:val="nil"/>
              <w:left w:val="nil"/>
              <w:bottom w:val="nil"/>
              <w:right w:val="nil"/>
            </w:tcBorders>
            <w:noWrap/>
            <w:vAlign w:val="bottom"/>
            <w:hideMark/>
          </w:tcPr>
          <w:p w14:paraId="4AC0B922"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Disagree</w:t>
            </w:r>
          </w:p>
        </w:tc>
        <w:tc>
          <w:tcPr>
            <w:tcW w:w="900" w:type="dxa"/>
            <w:tcBorders>
              <w:top w:val="nil"/>
              <w:left w:val="nil"/>
              <w:bottom w:val="nil"/>
              <w:right w:val="nil"/>
            </w:tcBorders>
            <w:noWrap/>
            <w:vAlign w:val="bottom"/>
            <w:hideMark/>
          </w:tcPr>
          <w:p w14:paraId="5E8B185A"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90" w:type="dxa"/>
            <w:tcBorders>
              <w:top w:val="nil"/>
              <w:left w:val="nil"/>
              <w:bottom w:val="nil"/>
              <w:right w:val="nil"/>
            </w:tcBorders>
            <w:noWrap/>
            <w:vAlign w:val="bottom"/>
            <w:hideMark/>
          </w:tcPr>
          <w:p w14:paraId="19322E1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nil"/>
              <w:bottom w:val="nil"/>
              <w:right w:val="nil"/>
            </w:tcBorders>
            <w:noWrap/>
            <w:vAlign w:val="bottom"/>
            <w:hideMark/>
          </w:tcPr>
          <w:p w14:paraId="351E98F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46" w:type="dxa"/>
            <w:tcBorders>
              <w:top w:val="nil"/>
              <w:left w:val="nil"/>
              <w:bottom w:val="nil"/>
              <w:right w:val="nil"/>
            </w:tcBorders>
            <w:noWrap/>
            <w:vAlign w:val="bottom"/>
            <w:hideMark/>
          </w:tcPr>
          <w:p w14:paraId="71E03F68"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42ED71A4"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2A2D79F8"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nil"/>
              <w:right w:val="nil"/>
            </w:tcBorders>
            <w:noWrap/>
            <w:vAlign w:val="bottom"/>
            <w:hideMark/>
          </w:tcPr>
          <w:p w14:paraId="2DACED52"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1.0%</w:t>
            </w:r>
          </w:p>
        </w:tc>
        <w:tc>
          <w:tcPr>
            <w:tcW w:w="804" w:type="dxa"/>
            <w:tcBorders>
              <w:top w:val="nil"/>
              <w:left w:val="nil"/>
              <w:bottom w:val="nil"/>
              <w:right w:val="nil"/>
            </w:tcBorders>
            <w:noWrap/>
            <w:vAlign w:val="bottom"/>
            <w:hideMark/>
          </w:tcPr>
          <w:p w14:paraId="5E192E8A"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56" w:type="dxa"/>
            <w:tcBorders>
              <w:top w:val="nil"/>
              <w:left w:val="nil"/>
              <w:bottom w:val="nil"/>
              <w:right w:val="nil"/>
            </w:tcBorders>
            <w:noWrap/>
            <w:vAlign w:val="bottom"/>
            <w:hideMark/>
          </w:tcPr>
          <w:p w14:paraId="071B567A"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0.2%</w:t>
            </w:r>
          </w:p>
        </w:tc>
      </w:tr>
      <w:tr w:rsidR="00CB4DA9" w:rsidRPr="00116D0B" w14:paraId="271F53C4" w14:textId="77777777" w:rsidTr="00116D0B">
        <w:trPr>
          <w:trHeight w:val="300"/>
        </w:trPr>
        <w:tc>
          <w:tcPr>
            <w:tcW w:w="2520" w:type="dxa"/>
            <w:tcBorders>
              <w:top w:val="nil"/>
              <w:left w:val="nil"/>
              <w:bottom w:val="single" w:sz="8" w:space="0" w:color="549E39"/>
              <w:right w:val="nil"/>
            </w:tcBorders>
            <w:noWrap/>
            <w:vAlign w:val="bottom"/>
            <w:hideMark/>
          </w:tcPr>
          <w:p w14:paraId="7CB14C9F" w14:textId="77777777" w:rsidR="001D05CD" w:rsidRPr="00116D0B" w:rsidRDefault="001D05CD" w:rsidP="001D05CD">
            <w:pPr>
              <w:widowControl/>
              <w:autoSpaceDE/>
              <w:autoSpaceDN/>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Strongly Disagree</w:t>
            </w:r>
          </w:p>
        </w:tc>
        <w:tc>
          <w:tcPr>
            <w:tcW w:w="900" w:type="dxa"/>
            <w:tcBorders>
              <w:top w:val="nil"/>
              <w:left w:val="nil"/>
              <w:bottom w:val="single" w:sz="8" w:space="0" w:color="549E39"/>
              <w:right w:val="nil"/>
            </w:tcBorders>
            <w:noWrap/>
            <w:vAlign w:val="bottom"/>
            <w:hideMark/>
          </w:tcPr>
          <w:p w14:paraId="38D56BC5"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2.3%</w:t>
            </w:r>
          </w:p>
        </w:tc>
        <w:tc>
          <w:tcPr>
            <w:tcW w:w="990" w:type="dxa"/>
            <w:tcBorders>
              <w:top w:val="nil"/>
              <w:left w:val="nil"/>
              <w:bottom w:val="single" w:sz="8" w:space="0" w:color="549E39"/>
              <w:right w:val="nil"/>
            </w:tcBorders>
            <w:noWrap/>
            <w:vAlign w:val="bottom"/>
            <w:hideMark/>
          </w:tcPr>
          <w:p w14:paraId="6E942FB8"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nil"/>
              <w:bottom w:val="single" w:sz="8" w:space="0" w:color="549E39"/>
              <w:right w:val="nil"/>
            </w:tcBorders>
            <w:noWrap/>
            <w:vAlign w:val="bottom"/>
            <w:hideMark/>
          </w:tcPr>
          <w:p w14:paraId="45F786CD"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946" w:type="dxa"/>
            <w:tcBorders>
              <w:top w:val="nil"/>
              <w:left w:val="nil"/>
              <w:bottom w:val="single" w:sz="8" w:space="0" w:color="549E39"/>
              <w:right w:val="nil"/>
            </w:tcBorders>
            <w:noWrap/>
            <w:vAlign w:val="bottom"/>
            <w:hideMark/>
          </w:tcPr>
          <w:p w14:paraId="43FB421C"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single" w:sz="8" w:space="0" w:color="549E39"/>
              <w:right w:val="nil"/>
            </w:tcBorders>
            <w:noWrap/>
            <w:vAlign w:val="bottom"/>
            <w:hideMark/>
          </w:tcPr>
          <w:p w14:paraId="19240BA2"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single" w:sz="8" w:space="0" w:color="549E39"/>
              <w:right w:val="nil"/>
            </w:tcBorders>
            <w:noWrap/>
            <w:vAlign w:val="bottom"/>
            <w:hideMark/>
          </w:tcPr>
          <w:p w14:paraId="16DF0911"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10" w:type="dxa"/>
            <w:tcBorders>
              <w:top w:val="nil"/>
              <w:left w:val="nil"/>
              <w:bottom w:val="single" w:sz="8" w:space="0" w:color="549E39"/>
              <w:right w:val="nil"/>
            </w:tcBorders>
            <w:noWrap/>
            <w:vAlign w:val="bottom"/>
            <w:hideMark/>
          </w:tcPr>
          <w:p w14:paraId="056B8208"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04" w:type="dxa"/>
            <w:tcBorders>
              <w:top w:val="nil"/>
              <w:left w:val="nil"/>
              <w:bottom w:val="single" w:sz="8" w:space="0" w:color="549E39"/>
              <w:right w:val="nil"/>
            </w:tcBorders>
            <w:noWrap/>
            <w:vAlign w:val="bottom"/>
            <w:hideMark/>
          </w:tcPr>
          <w:p w14:paraId="086830DF"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0.0%</w:t>
            </w:r>
          </w:p>
        </w:tc>
        <w:tc>
          <w:tcPr>
            <w:tcW w:w="856" w:type="dxa"/>
            <w:tcBorders>
              <w:top w:val="nil"/>
              <w:left w:val="nil"/>
              <w:bottom w:val="single" w:sz="8" w:space="0" w:color="549E39"/>
              <w:right w:val="nil"/>
            </w:tcBorders>
            <w:noWrap/>
            <w:vAlign w:val="bottom"/>
            <w:hideMark/>
          </w:tcPr>
          <w:p w14:paraId="202784D3" w14:textId="77777777" w:rsidR="001D05CD" w:rsidRPr="00116D0B" w:rsidRDefault="001D05CD" w:rsidP="001D05CD">
            <w:pPr>
              <w:widowControl/>
              <w:autoSpaceDE/>
              <w:autoSpaceDN/>
              <w:jc w:val="center"/>
              <w:rPr>
                <w:rFonts w:ascii="Garamond" w:eastAsia="Times New Roman" w:hAnsi="Garamond" w:cs="Calibri"/>
                <w:color w:val="000000"/>
                <w:sz w:val="24"/>
                <w:szCs w:val="24"/>
              </w:rPr>
            </w:pPr>
            <w:r w:rsidRPr="00116D0B">
              <w:rPr>
                <w:rFonts w:ascii="Garamond" w:eastAsia="Times New Roman" w:hAnsi="Garamond" w:cs="Calibri"/>
                <w:color w:val="000000"/>
                <w:sz w:val="24"/>
                <w:szCs w:val="24"/>
              </w:rPr>
              <w:t>0.2%</w:t>
            </w:r>
          </w:p>
        </w:tc>
      </w:tr>
    </w:tbl>
    <w:p w14:paraId="5DEE0FA6" w14:textId="77777777" w:rsidR="001D05CD" w:rsidRPr="00116D0B" w:rsidRDefault="001D05CD" w:rsidP="00A86BC9">
      <w:pPr>
        <w:tabs>
          <w:tab w:val="left" w:pos="1550"/>
        </w:tabs>
        <w:spacing w:before="240" w:after="240" w:line="276" w:lineRule="auto"/>
        <w:jc w:val="both"/>
        <w:rPr>
          <w:rFonts w:ascii="Garamond" w:hAnsi="Garamond"/>
          <w:sz w:val="24"/>
          <w:szCs w:val="24"/>
        </w:rPr>
      </w:pPr>
    </w:p>
    <w:p w14:paraId="112B8605" w14:textId="73FEDDB8" w:rsidR="004E418F" w:rsidRPr="00116D0B" w:rsidRDefault="003039BC" w:rsidP="003039BC">
      <w:pPr>
        <w:pStyle w:val="Heading2"/>
        <w:rPr>
          <w:szCs w:val="24"/>
        </w:rPr>
      </w:pPr>
      <w:bookmarkStart w:id="98" w:name="_Toc166775425"/>
      <w:r w:rsidRPr="00116D0B">
        <w:rPr>
          <w:szCs w:val="24"/>
        </w:rPr>
        <w:t>4.4</w:t>
      </w:r>
      <w:r w:rsidRPr="00116D0B">
        <w:rPr>
          <w:szCs w:val="24"/>
        </w:rPr>
        <w:tab/>
      </w:r>
      <w:r w:rsidR="004E418F" w:rsidRPr="00116D0B">
        <w:rPr>
          <w:szCs w:val="24"/>
        </w:rPr>
        <w:t>Assessment of Results and Achievements Based on Indicators</w:t>
      </w:r>
      <w:bookmarkEnd w:id="98"/>
    </w:p>
    <w:p w14:paraId="264A55E5" w14:textId="6A80DE7F" w:rsidR="004E418F" w:rsidRPr="00116D0B" w:rsidRDefault="00116D0B" w:rsidP="004E418F">
      <w:pPr>
        <w:tabs>
          <w:tab w:val="left" w:pos="1550"/>
        </w:tabs>
        <w:spacing w:before="240" w:after="240" w:line="276" w:lineRule="auto"/>
        <w:jc w:val="both"/>
        <w:rPr>
          <w:rFonts w:ascii="Garamond" w:hAnsi="Garamond"/>
          <w:sz w:val="24"/>
          <w:szCs w:val="24"/>
        </w:rPr>
      </w:pPr>
      <w:r w:rsidRPr="00116D0B">
        <w:rPr>
          <w:rFonts w:ascii="Garamond" w:hAnsi="Garamond"/>
          <w:sz w:val="24"/>
          <w:szCs w:val="24"/>
        </w:rPr>
        <w:t xml:space="preserve">Table 31 </w:t>
      </w:r>
      <w:r w:rsidR="004E418F" w:rsidRPr="00116D0B">
        <w:rPr>
          <w:rFonts w:ascii="Garamond" w:hAnsi="Garamond"/>
          <w:sz w:val="24"/>
          <w:szCs w:val="24"/>
        </w:rPr>
        <w:t>shows the assessment of results and achievement based on indicators. Specific objectives</w:t>
      </w:r>
      <w:r w:rsidR="00B1217F" w:rsidRPr="00116D0B">
        <w:rPr>
          <w:rFonts w:ascii="Garamond" w:hAnsi="Garamond"/>
          <w:sz w:val="24"/>
          <w:szCs w:val="24"/>
        </w:rPr>
        <w:t xml:space="preserve"> </w:t>
      </w:r>
      <w:r w:rsidR="004E418F" w:rsidRPr="00116D0B">
        <w:rPr>
          <w:rFonts w:ascii="Garamond" w:hAnsi="Garamond"/>
          <w:sz w:val="24"/>
          <w:szCs w:val="24"/>
        </w:rPr>
        <w:t>and output targets were set to measure achievement with the endline results. The findings are discussed below</w:t>
      </w:r>
    </w:p>
    <w:p w14:paraId="65216948" w14:textId="593634EC" w:rsidR="004E418F" w:rsidRPr="00116D0B" w:rsidRDefault="004E418F" w:rsidP="004E418F">
      <w:pPr>
        <w:tabs>
          <w:tab w:val="left" w:pos="1550"/>
        </w:tabs>
        <w:spacing w:before="240" w:after="240" w:line="276" w:lineRule="auto"/>
        <w:jc w:val="both"/>
        <w:rPr>
          <w:rFonts w:ascii="Garamond" w:hAnsi="Garamond"/>
          <w:sz w:val="24"/>
          <w:szCs w:val="24"/>
        </w:rPr>
      </w:pPr>
      <w:r w:rsidRPr="00116D0B">
        <w:rPr>
          <w:rFonts w:ascii="Garamond" w:hAnsi="Garamond"/>
          <w:b/>
          <w:sz w:val="24"/>
          <w:szCs w:val="24"/>
        </w:rPr>
        <w:t>Participatory Engagement and Planning:</w:t>
      </w:r>
      <w:r w:rsidRPr="00116D0B">
        <w:rPr>
          <w:rFonts w:ascii="Garamond" w:hAnsi="Garamond"/>
          <w:sz w:val="24"/>
          <w:szCs w:val="24"/>
        </w:rPr>
        <w:t xml:space="preserve"> The baseline measurement indicates that initially, no Community Development Plan (CDP) priority needs were captured and implemented through the state budget at the Local Government Area (LGA). However, the target was set at 46, but only 29 were achieved, highlighting a significant progress in this area. Additionally, the percentage of participants in community development planning processes who confirmed that their viewpoints were considered in local decision-making processes exceeded the target of 50%, reaching 80.8% overall. This indicates a significant improvement in the inclusion of community perspectives in decision-making.</w:t>
      </w:r>
    </w:p>
    <w:p w14:paraId="606211C9" w14:textId="77777777" w:rsidR="004E418F" w:rsidRPr="00116D0B" w:rsidRDefault="004E418F" w:rsidP="004E418F">
      <w:pPr>
        <w:tabs>
          <w:tab w:val="left" w:pos="1550"/>
        </w:tabs>
        <w:spacing w:before="240" w:after="240" w:line="276" w:lineRule="auto"/>
        <w:jc w:val="both"/>
        <w:rPr>
          <w:rFonts w:ascii="Garamond" w:hAnsi="Garamond"/>
          <w:sz w:val="24"/>
          <w:szCs w:val="24"/>
        </w:rPr>
      </w:pPr>
      <w:r w:rsidRPr="00116D0B">
        <w:rPr>
          <w:rFonts w:ascii="Garamond" w:hAnsi="Garamond"/>
          <w:b/>
          <w:sz w:val="24"/>
          <w:szCs w:val="24"/>
        </w:rPr>
        <w:t>Social Cohesion:</w:t>
      </w:r>
      <w:r w:rsidRPr="00116D0B">
        <w:rPr>
          <w:rFonts w:ascii="Garamond" w:hAnsi="Garamond"/>
          <w:sz w:val="24"/>
          <w:szCs w:val="24"/>
        </w:rPr>
        <w:t xml:space="preserve"> The percentage of stakeholders who participated in local governance activities and agreed that their local government is better meeting their needs using the CDPs developed increased from a baseline of 12% to 68%, surpassing the target of 50%. Moreover, the percentage of participants involved in measures/initiatives to foster cohesion who confirmed an improvement in the quality of their social relations increased from a baseline of 33% to 79%, exceeding the target of 70%. These outcomes suggest a notable enhancement in social cohesion within the community.</w:t>
      </w:r>
    </w:p>
    <w:p w14:paraId="20CF5070" w14:textId="77777777" w:rsidR="004E418F" w:rsidRPr="00116D0B" w:rsidRDefault="004E418F" w:rsidP="004E418F">
      <w:pPr>
        <w:tabs>
          <w:tab w:val="left" w:pos="1550"/>
        </w:tabs>
        <w:spacing w:before="240" w:after="240" w:line="276" w:lineRule="auto"/>
        <w:jc w:val="both"/>
        <w:rPr>
          <w:rFonts w:ascii="Garamond" w:hAnsi="Garamond"/>
          <w:sz w:val="24"/>
          <w:szCs w:val="24"/>
        </w:rPr>
      </w:pPr>
      <w:r w:rsidRPr="00116D0B">
        <w:rPr>
          <w:rFonts w:ascii="Garamond" w:hAnsi="Garamond"/>
          <w:b/>
          <w:sz w:val="24"/>
          <w:szCs w:val="24"/>
        </w:rPr>
        <w:t>Capacity Building and Inclusive Planning:</w:t>
      </w:r>
      <w:r w:rsidRPr="00116D0B">
        <w:rPr>
          <w:rFonts w:ascii="Garamond" w:hAnsi="Garamond"/>
          <w:sz w:val="24"/>
          <w:szCs w:val="24"/>
        </w:rPr>
        <w:t xml:space="preserve"> Various measures were taken to enhance stakeholders' </w:t>
      </w:r>
      <w:r w:rsidRPr="00116D0B">
        <w:rPr>
          <w:rFonts w:ascii="Garamond" w:hAnsi="Garamond"/>
          <w:sz w:val="24"/>
          <w:szCs w:val="24"/>
        </w:rPr>
        <w:lastRenderedPageBreak/>
        <w:t>capacity for inclusive planning and monitoring of community development plans. Notably, the number of CDP priority needs captured and implemented through the state budget at the LGA increased from 0 to 26, surpassing the target of 2. Additionally, the number of initiatives established to boost budget transparency at the LGA level exceeded the target, indicating progress in promoting transparency and accountability in resource allocation.</w:t>
      </w:r>
    </w:p>
    <w:p w14:paraId="55D8FAFF" w14:textId="466A418D" w:rsidR="004E418F" w:rsidRPr="00116D0B" w:rsidRDefault="004E418F" w:rsidP="004E418F">
      <w:pPr>
        <w:tabs>
          <w:tab w:val="left" w:pos="1550"/>
        </w:tabs>
        <w:spacing w:before="240" w:after="240" w:line="276" w:lineRule="auto"/>
        <w:jc w:val="both"/>
        <w:rPr>
          <w:rFonts w:ascii="Garamond" w:hAnsi="Garamond"/>
          <w:sz w:val="24"/>
          <w:szCs w:val="24"/>
        </w:rPr>
      </w:pPr>
      <w:r w:rsidRPr="00116D0B">
        <w:rPr>
          <w:rFonts w:ascii="Garamond" w:hAnsi="Garamond"/>
          <w:b/>
          <w:sz w:val="24"/>
          <w:szCs w:val="24"/>
        </w:rPr>
        <w:t>Inclusive Consultation and Participation:</w:t>
      </w:r>
      <w:r w:rsidRPr="00116D0B">
        <w:rPr>
          <w:rFonts w:ascii="Garamond" w:hAnsi="Garamond"/>
          <w:sz w:val="24"/>
          <w:szCs w:val="24"/>
        </w:rPr>
        <w:t xml:space="preserve"> The number of stakeholders involved in consultation activities and actively participating in the CDP development process increased significantly from 0 to 2858, far exceeding the target of 1400. Similarly, the number of priority interventions identified through participatory processes and included in the LGA plan, which address the needs of vulnera</w:t>
      </w:r>
      <w:r w:rsidR="00B1217F" w:rsidRPr="00116D0B">
        <w:rPr>
          <w:rFonts w:ascii="Garamond" w:hAnsi="Garamond"/>
          <w:sz w:val="24"/>
          <w:szCs w:val="24"/>
        </w:rPr>
        <w:t>ble groups was 94. Although the target of 160 was not achieved, the project achieved a significant milestone in that regard.</w:t>
      </w:r>
      <w:r w:rsidRPr="00116D0B">
        <w:rPr>
          <w:rFonts w:ascii="Garamond" w:hAnsi="Garamond"/>
          <w:sz w:val="24"/>
          <w:szCs w:val="24"/>
        </w:rPr>
        <w:t xml:space="preserve"> </w:t>
      </w:r>
      <w:r w:rsidR="00B1217F" w:rsidRPr="00116D0B">
        <w:rPr>
          <w:rFonts w:ascii="Garamond" w:hAnsi="Garamond"/>
          <w:sz w:val="24"/>
          <w:szCs w:val="24"/>
        </w:rPr>
        <w:t>Regarding</w:t>
      </w:r>
      <w:r w:rsidRPr="00116D0B">
        <w:rPr>
          <w:rFonts w:ascii="Garamond" w:hAnsi="Garamond"/>
          <w:sz w:val="24"/>
          <w:szCs w:val="24"/>
        </w:rPr>
        <w:t xml:space="preserve"> the number of priority interventions from the CDPs/WDPs/LGA plan included in the LGA/state budget addressing the needs of women and vulne</w:t>
      </w:r>
      <w:r w:rsidR="00B1217F" w:rsidRPr="00116D0B">
        <w:rPr>
          <w:rFonts w:ascii="Garamond" w:hAnsi="Garamond"/>
          <w:sz w:val="24"/>
          <w:szCs w:val="24"/>
        </w:rPr>
        <w:t xml:space="preserve">rable groups, 26 was achieved </w:t>
      </w:r>
      <w:r w:rsidRPr="00116D0B">
        <w:rPr>
          <w:rFonts w:ascii="Garamond" w:hAnsi="Garamond"/>
          <w:sz w:val="24"/>
          <w:szCs w:val="24"/>
        </w:rPr>
        <w:t>surpassing the target of 16.</w:t>
      </w:r>
    </w:p>
    <w:p w14:paraId="330AC52D" w14:textId="70E84DE3" w:rsidR="004E418F" w:rsidRPr="00116D0B" w:rsidRDefault="00B1217F" w:rsidP="009F59E9">
      <w:pPr>
        <w:tabs>
          <w:tab w:val="left" w:pos="1550"/>
        </w:tabs>
        <w:spacing w:before="240" w:after="240" w:line="276" w:lineRule="auto"/>
        <w:jc w:val="both"/>
        <w:rPr>
          <w:rFonts w:ascii="Garamond" w:hAnsi="Garamond"/>
          <w:sz w:val="24"/>
          <w:szCs w:val="24"/>
        </w:rPr>
      </w:pPr>
      <w:r w:rsidRPr="00116D0B">
        <w:rPr>
          <w:rFonts w:ascii="Garamond" w:hAnsi="Garamond"/>
          <w:sz w:val="24"/>
          <w:szCs w:val="24"/>
        </w:rPr>
        <w:t xml:space="preserve">Overall, </w:t>
      </w:r>
      <w:r w:rsidR="009F59E9" w:rsidRPr="00116D0B">
        <w:rPr>
          <w:rFonts w:ascii="Garamond" w:hAnsi="Garamond"/>
          <w:sz w:val="24"/>
          <w:szCs w:val="24"/>
        </w:rPr>
        <w:t xml:space="preserve">while </w:t>
      </w:r>
      <w:r w:rsidRPr="00116D0B">
        <w:rPr>
          <w:rFonts w:ascii="Garamond" w:hAnsi="Garamond"/>
          <w:sz w:val="24"/>
          <w:szCs w:val="24"/>
        </w:rPr>
        <w:t xml:space="preserve">only 2 of the project indicators </w:t>
      </w:r>
      <w:r w:rsidR="009F59E9" w:rsidRPr="00116D0B">
        <w:rPr>
          <w:rFonts w:ascii="Garamond" w:hAnsi="Garamond"/>
          <w:sz w:val="24"/>
          <w:szCs w:val="24"/>
        </w:rPr>
        <w:t>were not achieved, all the other project indicators were achieved and in most cases outperformed. The performance of the indicators is presented in the indicator matrix below.</w:t>
      </w:r>
    </w:p>
    <w:p w14:paraId="1598D07C" w14:textId="2B925010" w:rsidR="003039BC" w:rsidRPr="00116D0B" w:rsidRDefault="003039BC" w:rsidP="00C27173">
      <w:pPr>
        <w:pStyle w:val="Caption"/>
      </w:pPr>
      <w:bookmarkStart w:id="99" w:name="_Toc166704054"/>
      <w:r w:rsidRPr="00116D0B">
        <w:lastRenderedPageBreak/>
        <w:t xml:space="preserve">Table </w:t>
      </w:r>
      <w:fldSimple w:instr=" SEQ Table \* ARABIC ">
        <w:r w:rsidR="00116D0B" w:rsidRPr="00116D0B">
          <w:rPr>
            <w:noProof/>
          </w:rPr>
          <w:t>31</w:t>
        </w:r>
      </w:fldSimple>
      <w:r w:rsidR="002E025E" w:rsidRPr="00116D0B">
        <w:t>: Indicator Table</w:t>
      </w:r>
      <w:bookmarkEnd w:id="99"/>
    </w:p>
    <w:tbl>
      <w:tblPr>
        <w:tblStyle w:val="PlainTable11"/>
        <w:tblpPr w:leftFromText="180" w:rightFromText="180" w:vertAnchor="page" w:horzAnchor="margin" w:tblpXSpec="center" w:tblpY="1982"/>
        <w:tblW w:w="10165" w:type="dxa"/>
        <w:tblLook w:val="04A0" w:firstRow="1" w:lastRow="0" w:firstColumn="1" w:lastColumn="0" w:noHBand="0" w:noVBand="1"/>
      </w:tblPr>
      <w:tblGrid>
        <w:gridCol w:w="2342"/>
        <w:gridCol w:w="3940"/>
        <w:gridCol w:w="1614"/>
        <w:gridCol w:w="1009"/>
        <w:gridCol w:w="1260"/>
      </w:tblGrid>
      <w:tr w:rsidR="003039BC" w:rsidRPr="00116D0B" w14:paraId="1396B8D9" w14:textId="77777777" w:rsidTr="00842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shd w:val="clear" w:color="auto" w:fill="70AD47"/>
            <w:hideMark/>
          </w:tcPr>
          <w:p w14:paraId="118D6490" w14:textId="77777777" w:rsidR="009F59E9" w:rsidRPr="00116D0B" w:rsidRDefault="009F59E9" w:rsidP="003039BC">
            <w:pPr>
              <w:jc w:val="both"/>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Thematic Area</w:t>
            </w:r>
          </w:p>
        </w:tc>
        <w:tc>
          <w:tcPr>
            <w:tcW w:w="3940" w:type="dxa"/>
            <w:shd w:val="clear" w:color="auto" w:fill="70AD47"/>
            <w:hideMark/>
          </w:tcPr>
          <w:p w14:paraId="78579F4F" w14:textId="77777777" w:rsidR="009F59E9" w:rsidRPr="00116D0B" w:rsidRDefault="009F59E9" w:rsidP="003039B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Indicator</w:t>
            </w:r>
          </w:p>
        </w:tc>
        <w:tc>
          <w:tcPr>
            <w:tcW w:w="1614" w:type="dxa"/>
            <w:shd w:val="clear" w:color="auto" w:fill="70AD47"/>
            <w:hideMark/>
          </w:tcPr>
          <w:p w14:paraId="54877FFA" w14:textId="77777777" w:rsidR="009F59E9" w:rsidRPr="00116D0B" w:rsidRDefault="009F59E9" w:rsidP="003039B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Baseline Measurement</w:t>
            </w:r>
          </w:p>
        </w:tc>
        <w:tc>
          <w:tcPr>
            <w:tcW w:w="1009" w:type="dxa"/>
            <w:shd w:val="clear" w:color="auto" w:fill="70AD47"/>
          </w:tcPr>
          <w:p w14:paraId="6D457169" w14:textId="77777777" w:rsidR="009F59E9" w:rsidRPr="00116D0B" w:rsidRDefault="009F59E9" w:rsidP="003039B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 xml:space="preserve">Targets </w:t>
            </w:r>
          </w:p>
        </w:tc>
        <w:tc>
          <w:tcPr>
            <w:tcW w:w="1260" w:type="dxa"/>
            <w:shd w:val="clear" w:color="auto" w:fill="70AD47"/>
          </w:tcPr>
          <w:p w14:paraId="1C1CAFF3" w14:textId="77777777" w:rsidR="009F59E9" w:rsidRPr="00116D0B" w:rsidRDefault="009F59E9" w:rsidP="003039BC">
            <w:pPr>
              <w:jc w:val="both"/>
              <w:cnfStyle w:val="100000000000" w:firstRow="1" w:lastRow="0" w:firstColumn="0" w:lastColumn="0" w:oddVBand="0" w:evenVBand="0" w:oddHBand="0" w:evenHBand="0" w:firstRowFirstColumn="0" w:firstRowLastColumn="0" w:lastRowFirstColumn="0" w:lastRowLastColumn="0"/>
              <w:rPr>
                <w:rFonts w:ascii="Garamond" w:eastAsia="Calibri" w:hAnsi="Garamond" w:cs="Times New Roman"/>
                <w:color w:val="FFFFFF"/>
                <w:sz w:val="24"/>
                <w:szCs w:val="24"/>
              </w:rPr>
            </w:pPr>
            <w:r w:rsidRPr="00116D0B">
              <w:rPr>
                <w:rFonts w:ascii="Garamond" w:eastAsia="Calibri" w:hAnsi="Garamond" w:cs="Times New Roman"/>
                <w:color w:val="FFFFFF"/>
                <w:sz w:val="24"/>
                <w:szCs w:val="24"/>
              </w:rPr>
              <w:t>Achieved</w:t>
            </w:r>
          </w:p>
        </w:tc>
      </w:tr>
      <w:tr w:rsidR="00842D36" w:rsidRPr="00116D0B" w14:paraId="122D2BC7" w14:textId="77777777" w:rsidTr="0084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vMerge w:val="restart"/>
            <w:hideMark/>
          </w:tcPr>
          <w:p w14:paraId="183E1FD2" w14:textId="0820EF2A" w:rsidR="00842D36" w:rsidRPr="00116D0B" w:rsidRDefault="00842D36" w:rsidP="00842D36">
            <w:pPr>
              <w:rPr>
                <w:rFonts w:ascii="Garamond" w:eastAsia="Calibri" w:hAnsi="Garamond" w:cs="Times New Roman"/>
                <w:sz w:val="24"/>
                <w:szCs w:val="24"/>
              </w:rPr>
            </w:pPr>
            <w:r w:rsidRPr="00116D0B">
              <w:rPr>
                <w:rFonts w:ascii="Garamond" w:eastAsia="Calibri" w:hAnsi="Garamond" w:cs="Times New Roman"/>
                <w:sz w:val="24"/>
                <w:szCs w:val="24"/>
              </w:rPr>
              <w:t>To improve participatory engagement and planning</w:t>
            </w:r>
            <w:r>
              <w:rPr>
                <w:rFonts w:ascii="Garamond" w:eastAsia="Calibri" w:hAnsi="Garamond" w:cs="Times New Roman"/>
                <w:sz w:val="24"/>
                <w:szCs w:val="24"/>
              </w:rPr>
              <w:t xml:space="preserve"> </w:t>
            </w:r>
            <w:r>
              <w:t>between</w:t>
            </w:r>
            <w:r w:rsidRPr="00842D36">
              <w:rPr>
                <w:rFonts w:ascii="Garamond" w:eastAsia="Calibri" w:hAnsi="Garamond" w:cs="Times New Roman"/>
                <w:sz w:val="24"/>
                <w:szCs w:val="24"/>
              </w:rPr>
              <w:t xml:space="preserve"> local communities and government stakeholders</w:t>
            </w:r>
          </w:p>
        </w:tc>
        <w:tc>
          <w:tcPr>
            <w:tcW w:w="3940" w:type="dxa"/>
            <w:hideMark/>
          </w:tcPr>
          <w:p w14:paraId="22577D9A"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CDP priority needs captured and implemented through the state budget at the LGA.</w:t>
            </w:r>
          </w:p>
        </w:tc>
        <w:tc>
          <w:tcPr>
            <w:tcW w:w="1614" w:type="dxa"/>
            <w:hideMark/>
          </w:tcPr>
          <w:p w14:paraId="117A4D46"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1BF31F1E"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46</w:t>
            </w:r>
          </w:p>
        </w:tc>
        <w:tc>
          <w:tcPr>
            <w:tcW w:w="1260" w:type="dxa"/>
            <w:tcBorders>
              <w:top w:val="single" w:sz="8" w:space="0" w:color="FFFFFF"/>
              <w:left w:val="single" w:sz="8" w:space="0" w:color="FFFFFF"/>
              <w:bottom w:val="single" w:sz="24" w:space="0" w:color="FFFFFF"/>
              <w:right w:val="single" w:sz="8" w:space="0" w:color="FFFFFF"/>
            </w:tcBorders>
            <w:shd w:val="clear" w:color="auto" w:fill="EDEDED"/>
          </w:tcPr>
          <w:p w14:paraId="58FD8D93" w14:textId="77777777" w:rsidR="00842D36" w:rsidRPr="00116D0B" w:rsidRDefault="00842D36" w:rsidP="003039BC">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29</w:t>
            </w:r>
          </w:p>
        </w:tc>
      </w:tr>
      <w:tr w:rsidR="00842D36" w:rsidRPr="00116D0B" w14:paraId="7F4A5017" w14:textId="77777777" w:rsidTr="00842D36">
        <w:tc>
          <w:tcPr>
            <w:cnfStyle w:val="001000000000" w:firstRow="0" w:lastRow="0" w:firstColumn="1" w:lastColumn="0" w:oddVBand="0" w:evenVBand="0" w:oddHBand="0" w:evenHBand="0" w:firstRowFirstColumn="0" w:firstRowLastColumn="0" w:lastRowFirstColumn="0" w:lastRowLastColumn="0"/>
            <w:tcW w:w="2342" w:type="dxa"/>
            <w:vMerge/>
            <w:hideMark/>
          </w:tcPr>
          <w:p w14:paraId="69F52FEE" w14:textId="396D638B" w:rsidR="00842D36" w:rsidRPr="00116D0B" w:rsidRDefault="00842D36" w:rsidP="003039BC">
            <w:pPr>
              <w:jc w:val="both"/>
              <w:rPr>
                <w:rFonts w:ascii="Garamond" w:eastAsia="Calibri" w:hAnsi="Garamond" w:cs="Times New Roman"/>
                <w:sz w:val="24"/>
                <w:szCs w:val="24"/>
              </w:rPr>
            </w:pPr>
          </w:p>
        </w:tc>
        <w:tc>
          <w:tcPr>
            <w:tcW w:w="3940" w:type="dxa"/>
            <w:hideMark/>
          </w:tcPr>
          <w:p w14:paraId="7E3CB7F7"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participants in community development planning processes who confirmed that their viewpoints have been considered in local decision-making processes.</w:t>
            </w:r>
          </w:p>
        </w:tc>
        <w:tc>
          <w:tcPr>
            <w:tcW w:w="1614" w:type="dxa"/>
            <w:hideMark/>
          </w:tcPr>
          <w:p w14:paraId="7A6A7E41"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44% Overall [28%F; 57%M]</w:t>
            </w:r>
          </w:p>
        </w:tc>
        <w:tc>
          <w:tcPr>
            <w:tcW w:w="1009" w:type="dxa"/>
          </w:tcPr>
          <w:p w14:paraId="627A89CF"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50%</w:t>
            </w:r>
          </w:p>
        </w:tc>
        <w:tc>
          <w:tcPr>
            <w:tcW w:w="1260" w:type="dxa"/>
            <w:tcBorders>
              <w:top w:val="single" w:sz="24" w:space="0" w:color="FFFFFF"/>
              <w:left w:val="single" w:sz="8" w:space="0" w:color="FFFFFF"/>
              <w:bottom w:val="single" w:sz="8" w:space="0" w:color="FFFFFF"/>
              <w:right w:val="single" w:sz="8" w:space="0" w:color="FFFFFF"/>
            </w:tcBorders>
            <w:shd w:val="clear" w:color="auto" w:fill="D1DFCE"/>
          </w:tcPr>
          <w:p w14:paraId="1205B054" w14:textId="77777777" w:rsidR="00842D36" w:rsidRPr="00116D0B" w:rsidRDefault="00842D36" w:rsidP="003039B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80.8%</w:t>
            </w:r>
            <w:r w:rsidRPr="00116D0B">
              <w:rPr>
                <w:rFonts w:ascii="Garamond" w:eastAsia="Times New Roman" w:hAnsi="Garamond" w:cs="Calibri"/>
                <w:bCs/>
                <w:kern w:val="24"/>
                <w:sz w:val="24"/>
                <w:szCs w:val="24"/>
              </w:rPr>
              <w:br/>
              <w:t>[83.3%F; 78.9%M</w:t>
            </w:r>
            <w:r w:rsidRPr="00116D0B">
              <w:rPr>
                <w:rFonts w:ascii="Garamond" w:eastAsia="Times New Roman" w:hAnsi="Garamond" w:cs="Calibri"/>
                <w:kern w:val="24"/>
                <w:sz w:val="24"/>
                <w:szCs w:val="24"/>
              </w:rPr>
              <w:t>]</w:t>
            </w:r>
          </w:p>
        </w:tc>
      </w:tr>
      <w:tr w:rsidR="00842D36" w:rsidRPr="00116D0B" w14:paraId="2762D877" w14:textId="77777777" w:rsidTr="0084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vMerge w:val="restart"/>
            <w:hideMark/>
          </w:tcPr>
          <w:p w14:paraId="60EF90CB" w14:textId="7207B570" w:rsidR="00842D36" w:rsidRPr="00116D0B" w:rsidRDefault="00842D36" w:rsidP="00842D36">
            <w:pPr>
              <w:rPr>
                <w:rFonts w:ascii="Garamond" w:eastAsia="Calibri" w:hAnsi="Garamond" w:cs="Times New Roman"/>
                <w:sz w:val="24"/>
                <w:szCs w:val="24"/>
              </w:rPr>
            </w:pPr>
            <w:r w:rsidRPr="00116D0B">
              <w:rPr>
                <w:rFonts w:ascii="Garamond" w:eastAsia="Calibri" w:hAnsi="Garamond" w:cs="Times New Roman"/>
                <w:sz w:val="24"/>
                <w:szCs w:val="24"/>
              </w:rPr>
              <w:t>To strengthen social cohesion</w:t>
            </w:r>
            <w:r>
              <w:t xml:space="preserve"> </w:t>
            </w:r>
            <w:r w:rsidRPr="00842D36">
              <w:rPr>
                <w:rFonts w:ascii="Garamond" w:eastAsia="Calibri" w:hAnsi="Garamond" w:cs="Times New Roman"/>
                <w:sz w:val="24"/>
                <w:szCs w:val="24"/>
              </w:rPr>
              <w:t>through capacity building of stakeholders on inclusive   and monitoring of community development plans planning, implementation</w:t>
            </w:r>
          </w:p>
        </w:tc>
        <w:tc>
          <w:tcPr>
            <w:tcW w:w="3940" w:type="dxa"/>
            <w:hideMark/>
          </w:tcPr>
          <w:p w14:paraId="6192A11F"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stakeholders who participated in local governance activities and agree that their local government is better meeting their needs using the CDPs developed (disaggregated by gender/age/location)</w:t>
            </w:r>
          </w:p>
        </w:tc>
        <w:tc>
          <w:tcPr>
            <w:tcW w:w="1614" w:type="dxa"/>
            <w:hideMark/>
          </w:tcPr>
          <w:p w14:paraId="513C193F"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12% Overall [9%F; 14%M]</w:t>
            </w:r>
          </w:p>
        </w:tc>
        <w:tc>
          <w:tcPr>
            <w:tcW w:w="1009" w:type="dxa"/>
          </w:tcPr>
          <w:p w14:paraId="09A170D0"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50%</w:t>
            </w:r>
          </w:p>
        </w:tc>
        <w:tc>
          <w:tcPr>
            <w:tcW w:w="1260" w:type="dxa"/>
            <w:tcBorders>
              <w:top w:val="single" w:sz="8" w:space="0" w:color="FFFFFF"/>
              <w:left w:val="single" w:sz="8" w:space="0" w:color="FFFFFF"/>
              <w:bottom w:val="single" w:sz="8" w:space="0" w:color="FFFFFF"/>
              <w:right w:val="single" w:sz="8" w:space="0" w:color="FFFFFF"/>
            </w:tcBorders>
            <w:shd w:val="clear" w:color="auto" w:fill="E9F0E8"/>
          </w:tcPr>
          <w:p w14:paraId="117196C2" w14:textId="77777777" w:rsidR="00842D36" w:rsidRPr="00116D0B" w:rsidRDefault="00842D36" w:rsidP="003039BC">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68%</w:t>
            </w:r>
          </w:p>
          <w:p w14:paraId="4DB156FC" w14:textId="77777777" w:rsidR="00842D36" w:rsidRPr="00116D0B" w:rsidRDefault="00842D36" w:rsidP="003039BC">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[69.1%F; 67%M</w:t>
            </w:r>
            <w:r w:rsidRPr="00116D0B">
              <w:rPr>
                <w:rFonts w:ascii="Garamond" w:eastAsia="Times New Roman" w:hAnsi="Garamond" w:cs="Calibri"/>
                <w:kern w:val="24"/>
                <w:sz w:val="24"/>
                <w:szCs w:val="24"/>
              </w:rPr>
              <w:t>]</w:t>
            </w:r>
          </w:p>
        </w:tc>
      </w:tr>
      <w:tr w:rsidR="00842D36" w:rsidRPr="00116D0B" w14:paraId="33DF4166" w14:textId="77777777" w:rsidTr="00842D36">
        <w:tc>
          <w:tcPr>
            <w:cnfStyle w:val="001000000000" w:firstRow="0" w:lastRow="0" w:firstColumn="1" w:lastColumn="0" w:oddVBand="0" w:evenVBand="0" w:oddHBand="0" w:evenHBand="0" w:firstRowFirstColumn="0" w:firstRowLastColumn="0" w:lastRowFirstColumn="0" w:lastRowLastColumn="0"/>
            <w:tcW w:w="2342" w:type="dxa"/>
            <w:vMerge/>
            <w:hideMark/>
          </w:tcPr>
          <w:p w14:paraId="16171BAF" w14:textId="1EB4A1E6" w:rsidR="00842D36" w:rsidRPr="00116D0B" w:rsidRDefault="00842D36" w:rsidP="003039BC">
            <w:pPr>
              <w:jc w:val="both"/>
              <w:rPr>
                <w:rFonts w:ascii="Garamond" w:eastAsia="Calibri" w:hAnsi="Garamond" w:cs="Times New Roman"/>
                <w:sz w:val="24"/>
                <w:szCs w:val="24"/>
              </w:rPr>
            </w:pPr>
          </w:p>
        </w:tc>
        <w:tc>
          <w:tcPr>
            <w:tcW w:w="3940" w:type="dxa"/>
            <w:hideMark/>
          </w:tcPr>
          <w:p w14:paraId="0F8DC2DF"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 of participants involved in measures/initiatives to foster cohesion who confirmed that the quality of their social relations with other community representatives has improved</w:t>
            </w:r>
          </w:p>
        </w:tc>
        <w:tc>
          <w:tcPr>
            <w:tcW w:w="1614" w:type="dxa"/>
            <w:hideMark/>
          </w:tcPr>
          <w:p w14:paraId="4C79A4A0"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33% Overall [29%F; 37%M]</w:t>
            </w:r>
          </w:p>
        </w:tc>
        <w:tc>
          <w:tcPr>
            <w:tcW w:w="1009" w:type="dxa"/>
          </w:tcPr>
          <w:p w14:paraId="71AD7021"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70%</w:t>
            </w:r>
          </w:p>
        </w:tc>
        <w:tc>
          <w:tcPr>
            <w:tcW w:w="1260" w:type="dxa"/>
            <w:tcBorders>
              <w:top w:val="single" w:sz="8" w:space="0" w:color="FFFFFF"/>
              <w:left w:val="single" w:sz="8" w:space="0" w:color="FFFFFF"/>
              <w:bottom w:val="single" w:sz="8" w:space="0" w:color="FFFFFF"/>
              <w:right w:val="single" w:sz="8" w:space="0" w:color="FFFFFF"/>
            </w:tcBorders>
            <w:shd w:val="clear" w:color="auto" w:fill="D1DFCE"/>
          </w:tcPr>
          <w:p w14:paraId="25B3924F" w14:textId="77777777" w:rsidR="00842D36" w:rsidRPr="00116D0B" w:rsidRDefault="00842D36" w:rsidP="003039B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79%</w:t>
            </w:r>
          </w:p>
          <w:p w14:paraId="75009EF6" w14:textId="77777777" w:rsidR="00842D36" w:rsidRPr="00116D0B" w:rsidRDefault="00842D36" w:rsidP="003039BC">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sz w:val="24"/>
                <w:szCs w:val="24"/>
              </w:rPr>
            </w:pPr>
            <w:r w:rsidRPr="00116D0B">
              <w:rPr>
                <w:rFonts w:ascii="Garamond" w:eastAsia="Times New Roman" w:hAnsi="Garamond" w:cs="Calibri"/>
                <w:bCs/>
                <w:kern w:val="24"/>
                <w:sz w:val="24"/>
                <w:szCs w:val="24"/>
              </w:rPr>
              <w:t>[79.4%F; 78.7%M</w:t>
            </w:r>
            <w:r w:rsidRPr="00116D0B">
              <w:rPr>
                <w:rFonts w:ascii="Garamond" w:eastAsia="Times New Roman" w:hAnsi="Garamond" w:cs="Calibri"/>
                <w:kern w:val="24"/>
                <w:sz w:val="24"/>
                <w:szCs w:val="24"/>
              </w:rPr>
              <w:t>]</w:t>
            </w:r>
          </w:p>
        </w:tc>
      </w:tr>
      <w:tr w:rsidR="00842D36" w:rsidRPr="00116D0B" w14:paraId="35D402EA" w14:textId="77777777" w:rsidTr="0084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vMerge w:val="restart"/>
            <w:hideMark/>
          </w:tcPr>
          <w:p w14:paraId="16DCAD9D" w14:textId="47EC1927" w:rsidR="00842D36" w:rsidRPr="00116D0B" w:rsidRDefault="00842D36" w:rsidP="00842D36">
            <w:pPr>
              <w:rPr>
                <w:rFonts w:ascii="Garamond" w:eastAsia="Calibri" w:hAnsi="Garamond" w:cs="Times New Roman"/>
                <w:sz w:val="24"/>
                <w:szCs w:val="24"/>
              </w:rPr>
            </w:pPr>
            <w:r w:rsidRPr="00116D0B">
              <w:rPr>
                <w:rFonts w:ascii="Garamond" w:eastAsia="Calibri" w:hAnsi="Garamond" w:cs="Times New Roman"/>
                <w:sz w:val="24"/>
                <w:szCs w:val="24"/>
              </w:rPr>
              <w:t>Facilitate inclusive consultation, engagement and</w:t>
            </w:r>
            <w:r>
              <w:rPr>
                <w:rFonts w:ascii="Garamond" w:eastAsia="Calibri" w:hAnsi="Garamond" w:cs="Times New Roman"/>
                <w:sz w:val="24"/>
                <w:szCs w:val="24"/>
              </w:rPr>
              <w:t xml:space="preserve"> </w:t>
            </w:r>
            <w:r>
              <w:t>participation</w:t>
            </w:r>
            <w:r w:rsidRPr="00842D36">
              <w:rPr>
                <w:rFonts w:ascii="Garamond" w:eastAsia="Calibri" w:hAnsi="Garamond" w:cs="Times New Roman"/>
                <w:sz w:val="24"/>
                <w:szCs w:val="24"/>
              </w:rPr>
              <w:t xml:space="preserve"> in problem identification, solving and needs prioritization for target communities/wards.</w:t>
            </w:r>
          </w:p>
        </w:tc>
        <w:tc>
          <w:tcPr>
            <w:tcW w:w="3940" w:type="dxa"/>
            <w:hideMark/>
          </w:tcPr>
          <w:p w14:paraId="2AFD256C"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stakeholders involved in consultation activities and actively participate in the CDP development process</w:t>
            </w:r>
          </w:p>
        </w:tc>
        <w:tc>
          <w:tcPr>
            <w:tcW w:w="1614" w:type="dxa"/>
            <w:hideMark/>
          </w:tcPr>
          <w:p w14:paraId="4C915B5A"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7F6A7198"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1400</w:t>
            </w:r>
          </w:p>
        </w:tc>
        <w:tc>
          <w:tcPr>
            <w:tcW w:w="1260" w:type="dxa"/>
          </w:tcPr>
          <w:p w14:paraId="3194D59F"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2858</w:t>
            </w:r>
          </w:p>
        </w:tc>
      </w:tr>
      <w:tr w:rsidR="00842D36" w:rsidRPr="00116D0B" w14:paraId="06C27D31" w14:textId="77777777" w:rsidTr="00842D36">
        <w:tc>
          <w:tcPr>
            <w:cnfStyle w:val="001000000000" w:firstRow="0" w:lastRow="0" w:firstColumn="1" w:lastColumn="0" w:oddVBand="0" w:evenVBand="0" w:oddHBand="0" w:evenHBand="0" w:firstRowFirstColumn="0" w:firstRowLastColumn="0" w:lastRowFirstColumn="0" w:lastRowLastColumn="0"/>
            <w:tcW w:w="2342" w:type="dxa"/>
            <w:vMerge/>
            <w:hideMark/>
          </w:tcPr>
          <w:p w14:paraId="21808FCB" w14:textId="4290D85D" w:rsidR="00842D36" w:rsidRPr="00116D0B" w:rsidRDefault="00842D36" w:rsidP="00842D36">
            <w:pPr>
              <w:rPr>
                <w:rFonts w:ascii="Garamond" w:eastAsia="Calibri" w:hAnsi="Garamond" w:cs="Times New Roman"/>
                <w:sz w:val="24"/>
                <w:szCs w:val="24"/>
              </w:rPr>
            </w:pPr>
          </w:p>
        </w:tc>
        <w:tc>
          <w:tcPr>
            <w:tcW w:w="3940" w:type="dxa"/>
            <w:hideMark/>
          </w:tcPr>
          <w:p w14:paraId="5C192ED8"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priority interventions identified through a participatory process and included in the LGA plan, which address the needs of the vulnerable groups.</w:t>
            </w:r>
          </w:p>
        </w:tc>
        <w:tc>
          <w:tcPr>
            <w:tcW w:w="1614" w:type="dxa"/>
            <w:hideMark/>
          </w:tcPr>
          <w:p w14:paraId="4D26F4FA"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6A90F2DC"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160</w:t>
            </w:r>
          </w:p>
        </w:tc>
        <w:tc>
          <w:tcPr>
            <w:tcW w:w="1260" w:type="dxa"/>
          </w:tcPr>
          <w:p w14:paraId="55C1CC2B"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94</w:t>
            </w:r>
          </w:p>
        </w:tc>
      </w:tr>
      <w:tr w:rsidR="00842D36" w:rsidRPr="00116D0B" w14:paraId="01FAFFC5" w14:textId="77777777" w:rsidTr="0084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vMerge/>
            <w:hideMark/>
          </w:tcPr>
          <w:p w14:paraId="6E498608" w14:textId="659A55DF" w:rsidR="00842D36" w:rsidRPr="00116D0B" w:rsidRDefault="00842D36" w:rsidP="00842D36">
            <w:pPr>
              <w:rPr>
                <w:rFonts w:ascii="Garamond" w:eastAsia="Calibri" w:hAnsi="Garamond" w:cs="Times New Roman"/>
                <w:sz w:val="24"/>
                <w:szCs w:val="24"/>
              </w:rPr>
            </w:pPr>
          </w:p>
        </w:tc>
        <w:tc>
          <w:tcPr>
            <w:tcW w:w="3940" w:type="dxa"/>
            <w:hideMark/>
          </w:tcPr>
          <w:p w14:paraId="15A7DAD1"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priority interventions from the CDPs/WDPs/LGA plan included in the LGA/state budget which address the needs of the women and vulnerable groups</w:t>
            </w:r>
          </w:p>
        </w:tc>
        <w:tc>
          <w:tcPr>
            <w:tcW w:w="1614" w:type="dxa"/>
            <w:hideMark/>
          </w:tcPr>
          <w:p w14:paraId="63824BC8"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18A218EA"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16</w:t>
            </w:r>
          </w:p>
        </w:tc>
        <w:tc>
          <w:tcPr>
            <w:tcW w:w="1260" w:type="dxa"/>
          </w:tcPr>
          <w:p w14:paraId="1DA29A02"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26</w:t>
            </w:r>
          </w:p>
        </w:tc>
      </w:tr>
      <w:tr w:rsidR="00842D36" w:rsidRPr="00116D0B" w14:paraId="0152F989" w14:textId="77777777" w:rsidTr="00842D36">
        <w:tc>
          <w:tcPr>
            <w:cnfStyle w:val="001000000000" w:firstRow="0" w:lastRow="0" w:firstColumn="1" w:lastColumn="0" w:oddVBand="0" w:evenVBand="0" w:oddHBand="0" w:evenHBand="0" w:firstRowFirstColumn="0" w:firstRowLastColumn="0" w:lastRowFirstColumn="0" w:lastRowLastColumn="0"/>
            <w:tcW w:w="2342" w:type="dxa"/>
            <w:vMerge w:val="restart"/>
            <w:hideMark/>
          </w:tcPr>
          <w:p w14:paraId="1532CF28" w14:textId="096F3529" w:rsidR="00842D36" w:rsidRPr="00116D0B" w:rsidRDefault="00842D36" w:rsidP="00842D36">
            <w:pPr>
              <w:rPr>
                <w:rFonts w:ascii="Garamond" w:eastAsia="Calibri" w:hAnsi="Garamond" w:cs="Times New Roman"/>
                <w:sz w:val="24"/>
                <w:szCs w:val="24"/>
              </w:rPr>
            </w:pPr>
            <w:r w:rsidRPr="00116D0B">
              <w:rPr>
                <w:rFonts w:ascii="Garamond" w:eastAsia="Calibri" w:hAnsi="Garamond" w:cs="Times New Roman"/>
                <w:sz w:val="24"/>
                <w:szCs w:val="24"/>
              </w:rPr>
              <w:t>Improved capacity of stakeholders for inclusive</w:t>
            </w:r>
            <w:r>
              <w:rPr>
                <w:rFonts w:ascii="Garamond" w:eastAsia="Calibri" w:hAnsi="Garamond" w:cs="Times New Roman"/>
                <w:sz w:val="24"/>
                <w:szCs w:val="24"/>
              </w:rPr>
              <w:t xml:space="preserve"> </w:t>
            </w:r>
            <w:r w:rsidRPr="00116D0B">
              <w:rPr>
                <w:rFonts w:ascii="Garamond" w:eastAsia="Calibri" w:hAnsi="Garamond" w:cs="Times New Roman"/>
                <w:sz w:val="24"/>
                <w:szCs w:val="24"/>
              </w:rPr>
              <w:t>implementation and monitoring of community/LGA development plans</w:t>
            </w:r>
          </w:p>
        </w:tc>
        <w:tc>
          <w:tcPr>
            <w:tcW w:w="3940" w:type="dxa"/>
            <w:hideMark/>
          </w:tcPr>
          <w:p w14:paraId="5941F9EA"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CDP priority needs captured and implemented through the state budget at the LGA</w:t>
            </w:r>
          </w:p>
        </w:tc>
        <w:tc>
          <w:tcPr>
            <w:tcW w:w="1614" w:type="dxa"/>
            <w:hideMark/>
          </w:tcPr>
          <w:p w14:paraId="531D6252"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2951B53D"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w:t>
            </w:r>
          </w:p>
        </w:tc>
        <w:tc>
          <w:tcPr>
            <w:tcW w:w="1260" w:type="dxa"/>
          </w:tcPr>
          <w:p w14:paraId="3EA2A9A5" w14:textId="77777777" w:rsidR="00842D36" w:rsidRPr="00116D0B" w:rsidRDefault="00842D36"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26</w:t>
            </w:r>
          </w:p>
        </w:tc>
      </w:tr>
      <w:tr w:rsidR="00842D36" w:rsidRPr="00116D0B" w14:paraId="0CA9AE3D" w14:textId="77777777" w:rsidTr="0084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vMerge/>
            <w:hideMark/>
          </w:tcPr>
          <w:p w14:paraId="673BA108" w14:textId="7F446801" w:rsidR="00842D36" w:rsidRPr="00116D0B" w:rsidRDefault="00842D36" w:rsidP="00842D36">
            <w:pPr>
              <w:rPr>
                <w:rFonts w:ascii="Garamond" w:eastAsia="Calibri" w:hAnsi="Garamond" w:cs="Times New Roman"/>
                <w:sz w:val="24"/>
                <w:szCs w:val="24"/>
              </w:rPr>
            </w:pPr>
          </w:p>
        </w:tc>
        <w:tc>
          <w:tcPr>
            <w:tcW w:w="3940" w:type="dxa"/>
            <w:hideMark/>
          </w:tcPr>
          <w:p w14:paraId="759DACCF"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initiatives established to boost budget transparency at the LGA level</w:t>
            </w:r>
          </w:p>
        </w:tc>
        <w:tc>
          <w:tcPr>
            <w:tcW w:w="1614" w:type="dxa"/>
            <w:hideMark/>
          </w:tcPr>
          <w:p w14:paraId="3CFB8500"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182A17F6"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4</w:t>
            </w:r>
          </w:p>
        </w:tc>
        <w:tc>
          <w:tcPr>
            <w:tcW w:w="1260" w:type="dxa"/>
          </w:tcPr>
          <w:p w14:paraId="21E5EC5F" w14:textId="77777777" w:rsidR="00842D36" w:rsidRPr="00116D0B" w:rsidRDefault="00842D36" w:rsidP="003039BC">
            <w:pPr>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5</w:t>
            </w:r>
          </w:p>
        </w:tc>
      </w:tr>
      <w:tr w:rsidR="009F59E9" w:rsidRPr="00116D0B" w14:paraId="2701E897" w14:textId="77777777" w:rsidTr="00842D36">
        <w:tc>
          <w:tcPr>
            <w:cnfStyle w:val="001000000000" w:firstRow="0" w:lastRow="0" w:firstColumn="1" w:lastColumn="0" w:oddVBand="0" w:evenVBand="0" w:oddHBand="0" w:evenHBand="0" w:firstRowFirstColumn="0" w:firstRowLastColumn="0" w:lastRowFirstColumn="0" w:lastRowLastColumn="0"/>
            <w:tcW w:w="2342" w:type="dxa"/>
            <w:hideMark/>
          </w:tcPr>
          <w:p w14:paraId="648E16B3" w14:textId="5012526F" w:rsidR="009F59E9" w:rsidRPr="00116D0B" w:rsidRDefault="009F59E9" w:rsidP="003039BC">
            <w:pPr>
              <w:jc w:val="both"/>
              <w:rPr>
                <w:rFonts w:ascii="Garamond" w:eastAsia="Calibri" w:hAnsi="Garamond" w:cs="Times New Roman"/>
                <w:sz w:val="24"/>
                <w:szCs w:val="24"/>
              </w:rPr>
            </w:pPr>
            <w:r w:rsidRPr="00116D0B">
              <w:rPr>
                <w:rFonts w:ascii="Garamond" w:eastAsia="Calibri" w:hAnsi="Garamond" w:cs="Times New Roman"/>
                <w:sz w:val="24"/>
                <w:szCs w:val="24"/>
              </w:rPr>
              <w:t xml:space="preserve">Strengthened community participation and </w:t>
            </w:r>
            <w:r w:rsidR="00842D36" w:rsidRPr="00116D0B">
              <w:rPr>
                <w:rFonts w:ascii="Garamond" w:eastAsia="Calibri" w:hAnsi="Garamond" w:cs="Times New Roman"/>
                <w:sz w:val="24"/>
                <w:szCs w:val="24"/>
              </w:rPr>
              <w:t>cohesion platforms</w:t>
            </w:r>
          </w:p>
        </w:tc>
        <w:tc>
          <w:tcPr>
            <w:tcW w:w="3940" w:type="dxa"/>
            <w:hideMark/>
          </w:tcPr>
          <w:p w14:paraId="3A09C83D" w14:textId="77777777" w:rsidR="009F59E9" w:rsidRPr="00116D0B" w:rsidRDefault="009F59E9"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Number of people directly supported through measures to foster cohesion</w:t>
            </w:r>
          </w:p>
        </w:tc>
        <w:tc>
          <w:tcPr>
            <w:tcW w:w="1614" w:type="dxa"/>
            <w:hideMark/>
          </w:tcPr>
          <w:p w14:paraId="2453A5A0" w14:textId="77777777" w:rsidR="009F59E9" w:rsidRPr="00116D0B" w:rsidRDefault="009F59E9"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0</w:t>
            </w:r>
          </w:p>
        </w:tc>
        <w:tc>
          <w:tcPr>
            <w:tcW w:w="1009" w:type="dxa"/>
          </w:tcPr>
          <w:p w14:paraId="3805C052" w14:textId="77777777" w:rsidR="009F59E9" w:rsidRPr="00116D0B" w:rsidRDefault="009F59E9"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1000</w:t>
            </w:r>
          </w:p>
        </w:tc>
        <w:tc>
          <w:tcPr>
            <w:tcW w:w="1260" w:type="dxa"/>
          </w:tcPr>
          <w:p w14:paraId="4FAFD16B" w14:textId="77777777" w:rsidR="009F59E9" w:rsidRPr="00116D0B" w:rsidRDefault="009F59E9" w:rsidP="003039BC">
            <w:pPr>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rPr>
            </w:pPr>
            <w:r w:rsidRPr="00116D0B">
              <w:rPr>
                <w:rFonts w:ascii="Garamond" w:eastAsia="Calibri" w:hAnsi="Garamond" w:cs="Times New Roman"/>
                <w:sz w:val="24"/>
                <w:szCs w:val="24"/>
              </w:rPr>
              <w:t>2858</w:t>
            </w:r>
          </w:p>
        </w:tc>
      </w:tr>
    </w:tbl>
    <w:p w14:paraId="221ECDDB" w14:textId="7A7CA651" w:rsidR="00942864" w:rsidRPr="00116D0B" w:rsidRDefault="003039BC" w:rsidP="003039BC">
      <w:pPr>
        <w:pStyle w:val="Heading2"/>
        <w:rPr>
          <w:rFonts w:eastAsia="Calibri"/>
          <w:szCs w:val="24"/>
        </w:rPr>
      </w:pPr>
      <w:bookmarkStart w:id="100" w:name="_Toc166775426"/>
      <w:r w:rsidRPr="00116D0B">
        <w:rPr>
          <w:rFonts w:eastAsia="Calibri"/>
          <w:szCs w:val="24"/>
        </w:rPr>
        <w:lastRenderedPageBreak/>
        <w:t>4.5</w:t>
      </w:r>
      <w:r w:rsidRPr="00116D0B">
        <w:rPr>
          <w:rFonts w:eastAsia="Calibri"/>
          <w:szCs w:val="24"/>
        </w:rPr>
        <w:tab/>
      </w:r>
      <w:r w:rsidR="00942864" w:rsidRPr="00116D0B">
        <w:rPr>
          <w:rFonts w:eastAsia="Calibri"/>
          <w:szCs w:val="24"/>
        </w:rPr>
        <w:t>Evaluation of the developmental challenges and opportunities and the effectiveness of the initiatives in transforming community development planning.</w:t>
      </w:r>
      <w:bookmarkEnd w:id="100"/>
    </w:p>
    <w:p w14:paraId="12CBFF29" w14:textId="025577C1"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In other to examine the developmental challenges and opportunities, as well as the effectiveness pf the initiatives in transforming community development planning, the evaluation utilized the OECD criteria to examine the Relevance, effectiveness, impact, sustainability, lessons learned and challenges encountered in the course of project implementation. The findings are discussed below</w:t>
      </w:r>
      <w:r w:rsidR="000E1D28">
        <w:rPr>
          <w:rFonts w:ascii="Garamond" w:eastAsia="Calibri" w:hAnsi="Garamond" w:cs="Times New Roman"/>
          <w:sz w:val="24"/>
          <w:szCs w:val="24"/>
        </w:rPr>
        <w:t>:</w:t>
      </w:r>
    </w:p>
    <w:p w14:paraId="37088F01" w14:textId="116145B6" w:rsidR="00942864" w:rsidRPr="00116D0B" w:rsidRDefault="003039BC" w:rsidP="003039BC">
      <w:pPr>
        <w:pStyle w:val="TOC3"/>
      </w:pPr>
      <w:r w:rsidRPr="00116D0B">
        <w:t>4.5.1</w:t>
      </w:r>
      <w:r w:rsidRPr="00116D0B">
        <w:tab/>
        <w:t>Relevance</w:t>
      </w:r>
    </w:p>
    <w:p w14:paraId="5E62DB4C" w14:textId="522A4202"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relevance of a development project lies in its ability to effectively address the identified challenges, align with the needs and priorities of the target communities, and employ appropriate strategies for addressing these challenges. The evaluation assessed the relevance of the project by assessing how well the project addressed the challenges of mobilizing communities </w:t>
      </w:r>
      <w:r w:rsidR="004343E3">
        <w:rPr>
          <w:rFonts w:ascii="Garamond" w:eastAsia="Calibri" w:hAnsi="Garamond" w:cs="Times New Roman"/>
          <w:sz w:val="24"/>
          <w:szCs w:val="24"/>
        </w:rPr>
        <w:t>for CDP</w:t>
      </w:r>
      <w:r w:rsidRPr="00116D0B">
        <w:rPr>
          <w:rFonts w:ascii="Garamond" w:eastAsia="Calibri" w:hAnsi="Garamond" w:cs="Times New Roman"/>
          <w:sz w:val="24"/>
          <w:szCs w:val="24"/>
        </w:rPr>
        <w:t xml:space="preserve"> planning, its alignment with community needs and priorities, and the appropriateness of its strategies for fostering participatory engagement. </w:t>
      </w:r>
    </w:p>
    <w:p w14:paraId="1183ECD2" w14:textId="12B8B6E4"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Findings from the evaluation revealed that the project's success in addressing the challenge of mobilizing communities </w:t>
      </w:r>
      <w:r w:rsidR="004343E3">
        <w:rPr>
          <w:rFonts w:ascii="Garamond" w:eastAsia="Calibri" w:hAnsi="Garamond" w:cs="Times New Roman"/>
          <w:sz w:val="24"/>
          <w:szCs w:val="24"/>
        </w:rPr>
        <w:t xml:space="preserve">for </w:t>
      </w:r>
      <w:r w:rsidRPr="00116D0B">
        <w:rPr>
          <w:rFonts w:ascii="Garamond" w:eastAsia="Calibri" w:hAnsi="Garamond" w:cs="Times New Roman"/>
          <w:sz w:val="24"/>
          <w:szCs w:val="24"/>
        </w:rPr>
        <w:t>CDP</w:t>
      </w:r>
      <w:r w:rsidR="004343E3">
        <w:rPr>
          <w:rFonts w:ascii="Garamond" w:eastAsia="Calibri" w:hAnsi="Garamond" w:cs="Times New Roman"/>
          <w:sz w:val="24"/>
          <w:szCs w:val="24"/>
        </w:rPr>
        <w:t xml:space="preserve"> </w:t>
      </w:r>
      <w:r w:rsidRPr="00116D0B">
        <w:rPr>
          <w:rFonts w:ascii="Garamond" w:eastAsia="Calibri" w:hAnsi="Garamond" w:cs="Times New Roman"/>
          <w:sz w:val="24"/>
          <w:szCs w:val="24"/>
        </w:rPr>
        <w:t>stemmed from its inclusive and participatory approaches, as evidenced by insights from interviews with community members. These approaches were instrumental in overcoming barriers to community engagement and fostering a sense of ownership among participants.</w:t>
      </w:r>
    </w:p>
    <w:p w14:paraId="0D20F195"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sector analysis conducted across the 16 Wards of the LGA also contributed to improved citizens' engagement and participation in community development planning by providing essential insights into critical issues across the key sectors prioritized by community members. Through this analysis, community members gained valuable knowledge about the challenges within their community, empowering them to actively participate in discussions and decision-making processes. The sector-focused discussions during the community development planning played a pivotal role in ensuring that development planning was informed, inclusive, and aligned with the needs and priorities of the community.</w:t>
      </w:r>
    </w:p>
    <w:p w14:paraId="43E0AAEF"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During the CDP sessions, community members were given a platform to voice their concerns, aspirations, and priorities for development. For example, Respondents from the communities mentioned that the project encouraged discussions on bringing problems to the attention of the government by fostering unity and collaboration within the community. This suggests that the project facilitated open dialogue and encouraged active participation, allowing community members to contribute meaningfully to the planning process.</w:t>
      </w:r>
    </w:p>
    <w:p w14:paraId="1D0A6972"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Additionally, the first budget town hall meeting that was held served as an important forum for engaging stakeholders and soliciting feedback on proposed initiatives. Community members highlighted the importance of including diverse stakeholders, such as government officials, traditional and religious leaders, as well as community members in decision-making processes. This indicates that the project recognized the importance of collaboration and partnership in mobilizing resources and support for community-driven initiatives.</w:t>
      </w:r>
    </w:p>
    <w:p w14:paraId="337BECFE"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lastRenderedPageBreak/>
        <w:t>Furthermore, capacity-building workshops provided community members with the skills and knowledge needed to actively contribute to project implementation. The project's emphasis on identifying problems and solutions collectively, indicated a shift from a top-down approach to a bottom-up approach in development planning. By empowering community members to take charge of their own development agenda, the project ensured that local needs and priorities were accurately identified and addressed.</w:t>
      </w:r>
    </w:p>
    <w:p w14:paraId="343F970E"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Overall, the project's inclusive and participatory approaches were effective in mobilizing communities for CDP planning. By fostering a sense of ownership and empowering community members to actively participate in decision-making processes, the project laid the foundation for sustainable development outcomes and strengthened community resilience.</w:t>
      </w:r>
    </w:p>
    <w:p w14:paraId="0692B235"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"Before, it's hard for citizens to have a conversation or to have a meeting with a traditional leader or with a political leader. But now, we have created a group of development committees. Those committees, whenever they are engaging communities, they are engaging with their stakeholders, most especially the political and the traditional leaders." -  KII with Religious leader, </w:t>
      </w:r>
      <w:proofErr w:type="spellStart"/>
      <w:r w:rsidRPr="00116D0B">
        <w:rPr>
          <w:rFonts w:ascii="Garamond" w:eastAsia="Calibri" w:hAnsi="Garamond" w:cs="Times New Roman"/>
          <w:b/>
          <w:i/>
          <w:sz w:val="24"/>
          <w:szCs w:val="24"/>
        </w:rPr>
        <w:t>Tumbara</w:t>
      </w:r>
      <w:proofErr w:type="spellEnd"/>
      <w:r w:rsidRPr="00116D0B">
        <w:rPr>
          <w:rFonts w:ascii="Garamond" w:eastAsia="Calibri" w:hAnsi="Garamond" w:cs="Times New Roman"/>
          <w:b/>
          <w:i/>
          <w:sz w:val="24"/>
          <w:szCs w:val="24"/>
        </w:rPr>
        <w:t>/</w:t>
      </w:r>
      <w:proofErr w:type="spellStart"/>
      <w:r w:rsidRPr="00116D0B">
        <w:rPr>
          <w:rFonts w:ascii="Garamond" w:eastAsia="Calibri" w:hAnsi="Garamond" w:cs="Times New Roman"/>
          <w:b/>
          <w:i/>
          <w:sz w:val="24"/>
          <w:szCs w:val="24"/>
        </w:rPr>
        <w:t>Ngabali</w:t>
      </w:r>
      <w:proofErr w:type="spellEnd"/>
      <w:r w:rsidRPr="00116D0B">
        <w:rPr>
          <w:rFonts w:ascii="Garamond" w:eastAsia="Calibri" w:hAnsi="Garamond" w:cs="Times New Roman"/>
          <w:b/>
          <w:i/>
          <w:sz w:val="24"/>
          <w:szCs w:val="24"/>
        </w:rPr>
        <w:t xml:space="preserve"> </w:t>
      </w:r>
    </w:p>
    <w:p w14:paraId="44CB3E9F"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"Now, if they (the government) will do anything, they will first inform the community that this is what they want to do” - FGD with </w:t>
      </w:r>
      <w:proofErr w:type="spellStart"/>
      <w:r w:rsidRPr="00116D0B">
        <w:rPr>
          <w:rFonts w:ascii="Garamond" w:eastAsia="Calibri" w:hAnsi="Garamond" w:cs="Times New Roman"/>
          <w:b/>
          <w:i/>
          <w:sz w:val="24"/>
          <w:szCs w:val="24"/>
        </w:rPr>
        <w:t>Tumbara</w:t>
      </w:r>
      <w:proofErr w:type="spellEnd"/>
      <w:r w:rsidRPr="00116D0B">
        <w:rPr>
          <w:rFonts w:ascii="Garamond" w:eastAsia="Calibri" w:hAnsi="Garamond" w:cs="Times New Roman"/>
          <w:b/>
          <w:i/>
          <w:sz w:val="24"/>
          <w:szCs w:val="24"/>
        </w:rPr>
        <w:t>/</w:t>
      </w:r>
      <w:proofErr w:type="spellStart"/>
      <w:r w:rsidRPr="00116D0B">
        <w:rPr>
          <w:rFonts w:ascii="Garamond" w:eastAsia="Calibri" w:hAnsi="Garamond" w:cs="Times New Roman"/>
          <w:b/>
          <w:i/>
          <w:sz w:val="24"/>
          <w:szCs w:val="24"/>
        </w:rPr>
        <w:t>Ngabili</w:t>
      </w:r>
      <w:proofErr w:type="spellEnd"/>
    </w:p>
    <w:p w14:paraId="442E2969"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"Initially, we have a route that is not accessible by motorists. Which is very challenging for pregnant women to access healthcare, including the sick. But now it has been repaired, which is easily accessible. We collaboratively did that work." -  FGD with Adult Female, </w:t>
      </w:r>
      <w:proofErr w:type="spellStart"/>
      <w:r w:rsidRPr="00116D0B">
        <w:rPr>
          <w:rFonts w:ascii="Garamond" w:eastAsia="Calibri" w:hAnsi="Garamond" w:cs="Times New Roman"/>
          <w:b/>
          <w:i/>
          <w:sz w:val="24"/>
          <w:szCs w:val="24"/>
        </w:rPr>
        <w:t>Munkavachitta</w:t>
      </w:r>
      <w:proofErr w:type="spellEnd"/>
      <w:r w:rsidRPr="00116D0B">
        <w:rPr>
          <w:rFonts w:ascii="Garamond" w:eastAsia="Calibri" w:hAnsi="Garamond" w:cs="Times New Roman"/>
          <w:b/>
          <w:i/>
          <w:sz w:val="24"/>
          <w:szCs w:val="24"/>
        </w:rPr>
        <w:t xml:space="preserve"> Ward</w:t>
      </w:r>
    </w:p>
    <w:p w14:paraId="39F77E35"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"It made us know that we have the right to meet the government for our demand, especially when it concerns our development needs." -  Mixed FGD, </w:t>
      </w:r>
      <w:proofErr w:type="spellStart"/>
      <w:r w:rsidRPr="00116D0B">
        <w:rPr>
          <w:rFonts w:ascii="Garamond" w:eastAsia="Calibri" w:hAnsi="Garamond" w:cs="Times New Roman"/>
          <w:b/>
          <w:i/>
          <w:sz w:val="24"/>
          <w:szCs w:val="24"/>
        </w:rPr>
        <w:t>Garta</w:t>
      </w:r>
      <w:proofErr w:type="spellEnd"/>
      <w:r w:rsidRPr="00116D0B">
        <w:rPr>
          <w:rFonts w:ascii="Garamond" w:eastAsia="Calibri" w:hAnsi="Garamond" w:cs="Times New Roman"/>
          <w:b/>
          <w:i/>
          <w:sz w:val="24"/>
          <w:szCs w:val="24"/>
        </w:rPr>
        <w:t>/</w:t>
      </w:r>
      <w:proofErr w:type="spellStart"/>
      <w:r w:rsidRPr="00116D0B">
        <w:rPr>
          <w:rFonts w:ascii="Garamond" w:eastAsia="Calibri" w:hAnsi="Garamond" w:cs="Times New Roman"/>
          <w:b/>
          <w:i/>
          <w:sz w:val="24"/>
          <w:szCs w:val="24"/>
        </w:rPr>
        <w:t>Ghunchi</w:t>
      </w:r>
      <w:proofErr w:type="spellEnd"/>
      <w:r w:rsidRPr="00116D0B">
        <w:rPr>
          <w:rFonts w:ascii="Garamond" w:eastAsia="Calibri" w:hAnsi="Garamond" w:cs="Times New Roman"/>
          <w:b/>
          <w:i/>
          <w:sz w:val="24"/>
          <w:szCs w:val="24"/>
        </w:rPr>
        <w:t xml:space="preserve"> Ward</w:t>
      </w:r>
    </w:p>
    <w:p w14:paraId="66B181A8"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“It is safe to say that the 2024 </w:t>
      </w:r>
      <w:proofErr w:type="spellStart"/>
      <w:r w:rsidRPr="00116D0B">
        <w:rPr>
          <w:rFonts w:ascii="Garamond" w:eastAsia="Calibri" w:hAnsi="Garamond" w:cs="Times New Roman"/>
          <w:b/>
          <w:i/>
          <w:sz w:val="24"/>
          <w:szCs w:val="24"/>
        </w:rPr>
        <w:t>MichikaLGA</w:t>
      </w:r>
      <w:proofErr w:type="spellEnd"/>
      <w:r w:rsidRPr="00116D0B">
        <w:rPr>
          <w:rFonts w:ascii="Garamond" w:eastAsia="Calibri" w:hAnsi="Garamond" w:cs="Times New Roman"/>
          <w:b/>
          <w:i/>
          <w:sz w:val="24"/>
          <w:szCs w:val="24"/>
        </w:rPr>
        <w:t xml:space="preserve"> budget is a citizen’s budget, as the citizens needs and priority were captured in the budget” - KII with Implementing Partner</w:t>
      </w:r>
    </w:p>
    <w:p w14:paraId="42C7F208" w14:textId="2FCAA81B" w:rsidR="00942864" w:rsidRPr="00116D0B" w:rsidRDefault="003039BC" w:rsidP="003039BC">
      <w:pPr>
        <w:pStyle w:val="TOC3"/>
      </w:pPr>
      <w:r w:rsidRPr="00116D0B">
        <w:t>4.5.2</w:t>
      </w:r>
      <w:r w:rsidRPr="00116D0B">
        <w:tab/>
        <w:t>Effectiveness</w:t>
      </w:r>
    </w:p>
    <w:p w14:paraId="0B9CFB3F"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evaluation assessed the effectiveness of the project to provide valuable insights into the project's performance and its impact on community development. Examining the extent to which the project improved collaboration between local communities and government stakeholders, fostered measurable improvements in socio-economic conditions, and empowered communities to drive their development agendas, the evaluation provided a better understanding of the overall project effectiveness. </w:t>
      </w:r>
    </w:p>
    <w:p w14:paraId="205F474D"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Findings from the field visit revealed that the project's focus on promoting participatory engagement and inclusive planning has yielded tangible socioeconomic improvements within the community. One notable outcome is the increased community cohesion, which was observed through the establishment of regular weekly community meetings and the introduction of budget town hall meeting. These platforms provided </w:t>
      </w:r>
      <w:r w:rsidRPr="00116D0B">
        <w:rPr>
          <w:rFonts w:ascii="Garamond" w:eastAsia="Calibri" w:hAnsi="Garamond" w:cs="Times New Roman"/>
          <w:sz w:val="24"/>
          <w:szCs w:val="24"/>
        </w:rPr>
        <w:lastRenderedPageBreak/>
        <w:t>community members with opportunities to come together, discuss pertinent issues, and collectively shape the direction of development initiatives. By fostering a sense of unity and shared purpose, these gatherings have strengthened social bonds and collaboration among community members.</w:t>
      </w:r>
    </w:p>
    <w:p w14:paraId="023F1D48" w14:textId="2E7D29D9"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Furthermore, a significant indicator of the project's impact is the integration of community priorities into official planning processes, particularly the inclusion of over 20 items from the CDP in the 2024 budget. This achievement highlights the success of participatory budget preparation, where community members actively contributed to the identification and prioritization of development projects. Aligning the budget with the needs and aspirations of the community, the project has ensured that scarce resources are allocated effectively and transparently, maximizing the impact of public spending on local development.</w:t>
      </w:r>
    </w:p>
    <w:p w14:paraId="4A53117F"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Additionally, the capacity-building efforts undertaken as part of the project have played a crucial role in strengthening social cohesion and promoting inclusive planning, implementation, and monitoring of community development plans. Through various workshops, training sessions, and skill-building programs, LGA officials (both political and administrative) have been equipped with the knowledge, skills, and tools necessary to actively engage in the development process. This capacity building aimed to enhance the capacity of the stakeholders in inclusive planning and the implementation of the CDP. Through targeted training sessions, 30 LGA officials received comprehensive training on translating the CDP's priorities into actionable budgets. They were equipped with the necessary skills to prepare budgets using the International Public Sector Accounting Standards (IPSAS), ensuring alignment with international best practices in financial management.</w:t>
      </w:r>
    </w:p>
    <w:p w14:paraId="6FD313C5" w14:textId="6CF4AB36"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Moreover, the training sessions covered essential aspects of monitoring and evaluation, enabling LGA officials effectively oversee the execution of development projects and track their progress. By instilling a robust understanding of gender-responsive budgeting principles, officials were empowered to ensure that budget allocations catered to the diverse needs and priorities of all community members, irrespective of gender. This comprehensive capacity-building initiative not only strengthened the technical skills of LGA officials but also fostered a more inclusive and gender-sensitive approach to development planning and budgeting at the local level.</w:t>
      </w:r>
    </w:p>
    <w:p w14:paraId="0FAA6D39"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capacity-building efforts extended to the WDSCs, pivotal community entities charged with advocating for and overseeing community development projects, have yielded notable results. These committees underwent comprehensive training sessions covering various aspects essential for effective community development. From inclusive planning and participatory decision-making to monitoring and evaluation techniques, the WDSCs were equipped with the necessary skills to drive meaningful change at the grassroots level. Particularly impactful was the training on fundraising and lobbying techniques tailored specifically to community development projects. This training empowered WDSCs and community members alike to engage proactively in securing resources and support for sustainable development initiatives.</w:t>
      </w:r>
    </w:p>
    <w:p w14:paraId="182CD28A"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tangible impact of this capacity-building initiative is evident in the proactive engagement observed among community members and leaders. Beyond conventional lobbying methods, such as engaging with </w:t>
      </w:r>
      <w:r w:rsidRPr="00116D0B">
        <w:rPr>
          <w:rFonts w:ascii="Garamond" w:eastAsia="Calibri" w:hAnsi="Garamond" w:cs="Times New Roman"/>
          <w:sz w:val="24"/>
          <w:szCs w:val="24"/>
        </w:rPr>
        <w:lastRenderedPageBreak/>
        <w:t>political leaders, community members have taken initiative to leverage support from the diaspora community of Michika. This grassroots-driven approach exemplifies a holistic strategy where local stakeholders harness both internal and external resources to advance development agendas.</w:t>
      </w:r>
    </w:p>
    <w:p w14:paraId="0A95BFC5"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By empowering WDSCs and community members with the skills and knowledge necessary for effective advocacy and resource mobilization, the project has fostered a multi-faceted approach to community development in Michika. This approach not only ensures the active participation of local stakeholders in decision-making processes but also strengthens the sustainability of development efforts by diversifying the sources of support and resources. </w:t>
      </w:r>
    </w:p>
    <w:p w14:paraId="2DEA8E8E"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Overall, the capacity-building efforts have played a pivotal role in empowering communities to drive their development agendas forward and foster sustainable change in Michika. Empowering community members to actively participate in decision-making processes and ensuring that their voices are heard in official planning forums, the project has not only enhanced community cohesion but also fostered a sense of ownership and accountability among stakeholders. As a result, the community is better positioned to address its most pressing challenges and work towards sustainable development and prosperity.</w:t>
      </w:r>
    </w:p>
    <w:p w14:paraId="1A6BBAF3"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"We have bought blackboard in some schools especially in our community. We made desk for sitting in schools. We have provided capital to the widows and Orphans we trained on skills acquisition." - Mixed FGD with community members Madzi</w:t>
      </w:r>
    </w:p>
    <w:p w14:paraId="31EFBC31" w14:textId="5521C0D4"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"One notable outcome is the integration of community priorities into official planning processes, particularly the inclusion of over 20 items from </w:t>
      </w:r>
      <w:r w:rsidR="004343E3">
        <w:rPr>
          <w:rFonts w:ascii="Garamond" w:eastAsia="Calibri" w:hAnsi="Garamond" w:cs="Times New Roman"/>
          <w:b/>
          <w:i/>
          <w:sz w:val="24"/>
          <w:szCs w:val="24"/>
        </w:rPr>
        <w:t>CDP</w:t>
      </w:r>
      <w:r w:rsidRPr="00116D0B">
        <w:rPr>
          <w:rFonts w:ascii="Garamond" w:eastAsia="Calibri" w:hAnsi="Garamond" w:cs="Times New Roman"/>
          <w:b/>
          <w:i/>
          <w:sz w:val="24"/>
          <w:szCs w:val="24"/>
        </w:rPr>
        <w:t xml:space="preserve"> in the 2024 budget." -  KII with Michika Local Government Secretary</w:t>
      </w:r>
    </w:p>
    <w:p w14:paraId="55137B51"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“In </w:t>
      </w:r>
      <w:proofErr w:type="spellStart"/>
      <w:r w:rsidRPr="00116D0B">
        <w:rPr>
          <w:rFonts w:ascii="Garamond" w:eastAsia="Calibri" w:hAnsi="Garamond" w:cs="Times New Roman"/>
          <w:b/>
          <w:i/>
          <w:sz w:val="24"/>
          <w:szCs w:val="24"/>
        </w:rPr>
        <w:t>Nkafa</w:t>
      </w:r>
      <w:proofErr w:type="spellEnd"/>
      <w:r w:rsidRPr="00116D0B">
        <w:rPr>
          <w:rFonts w:ascii="Garamond" w:eastAsia="Calibri" w:hAnsi="Garamond" w:cs="Times New Roman"/>
          <w:b/>
          <w:i/>
          <w:sz w:val="24"/>
          <w:szCs w:val="24"/>
        </w:rPr>
        <w:t xml:space="preserve"> and Muni, community members are been called on phone whenever there is a meeting with our leaders." - Mixed FGD, </w:t>
      </w:r>
      <w:proofErr w:type="spellStart"/>
      <w:r w:rsidRPr="00116D0B">
        <w:rPr>
          <w:rFonts w:ascii="Garamond" w:eastAsia="Calibri" w:hAnsi="Garamond" w:cs="Times New Roman"/>
          <w:b/>
          <w:i/>
          <w:sz w:val="24"/>
          <w:szCs w:val="24"/>
        </w:rPr>
        <w:t>Munkafachita</w:t>
      </w:r>
      <w:proofErr w:type="spellEnd"/>
      <w:r w:rsidRPr="00116D0B">
        <w:rPr>
          <w:rFonts w:ascii="Garamond" w:eastAsia="Calibri" w:hAnsi="Garamond" w:cs="Times New Roman"/>
          <w:b/>
          <w:i/>
          <w:sz w:val="24"/>
          <w:szCs w:val="24"/>
        </w:rPr>
        <w:t xml:space="preserve"> Ward</w:t>
      </w:r>
    </w:p>
    <w:p w14:paraId="676EB242"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"A lot of community awareness has been created." There are a lot of developmental initiatives ongoing in the various wards across Michika LGA based on the knowledge gained during the CDP process” – KII with Project Implementers</w:t>
      </w:r>
    </w:p>
    <w:p w14:paraId="1CB97408"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“The training we received helped us, we repaired 2 culverts at </w:t>
      </w:r>
      <w:proofErr w:type="spellStart"/>
      <w:r w:rsidRPr="00116D0B">
        <w:rPr>
          <w:rFonts w:ascii="Garamond" w:eastAsia="Calibri" w:hAnsi="Garamond" w:cs="Times New Roman"/>
          <w:b/>
          <w:i/>
          <w:sz w:val="24"/>
          <w:szCs w:val="24"/>
        </w:rPr>
        <w:t>Garta</w:t>
      </w:r>
      <w:proofErr w:type="spellEnd"/>
      <w:r w:rsidRPr="00116D0B">
        <w:rPr>
          <w:rFonts w:ascii="Garamond" w:eastAsia="Calibri" w:hAnsi="Garamond" w:cs="Times New Roman"/>
          <w:b/>
          <w:i/>
          <w:sz w:val="24"/>
          <w:szCs w:val="24"/>
        </w:rPr>
        <w:t xml:space="preserve"> market, wells, boreholes, roads, and even a school where we renovated some class." -  FGD with Male group, </w:t>
      </w:r>
      <w:proofErr w:type="spellStart"/>
      <w:r w:rsidRPr="00116D0B">
        <w:rPr>
          <w:rFonts w:ascii="Garamond" w:eastAsia="Calibri" w:hAnsi="Garamond" w:cs="Times New Roman"/>
          <w:b/>
          <w:i/>
          <w:sz w:val="24"/>
          <w:szCs w:val="24"/>
        </w:rPr>
        <w:t>Garta</w:t>
      </w:r>
      <w:proofErr w:type="spellEnd"/>
      <w:r w:rsidRPr="00116D0B">
        <w:rPr>
          <w:rFonts w:ascii="Garamond" w:eastAsia="Calibri" w:hAnsi="Garamond" w:cs="Times New Roman"/>
          <w:b/>
          <w:i/>
          <w:sz w:val="24"/>
          <w:szCs w:val="24"/>
        </w:rPr>
        <w:t>/</w:t>
      </w:r>
      <w:proofErr w:type="spellStart"/>
      <w:r w:rsidRPr="00116D0B">
        <w:rPr>
          <w:rFonts w:ascii="Garamond" w:eastAsia="Calibri" w:hAnsi="Garamond" w:cs="Times New Roman"/>
          <w:b/>
          <w:i/>
          <w:sz w:val="24"/>
          <w:szCs w:val="24"/>
        </w:rPr>
        <w:t>Ghunchi</w:t>
      </w:r>
      <w:proofErr w:type="spellEnd"/>
      <w:r w:rsidRPr="00116D0B">
        <w:rPr>
          <w:rFonts w:ascii="Garamond" w:eastAsia="Calibri" w:hAnsi="Garamond" w:cs="Times New Roman"/>
          <w:b/>
          <w:i/>
          <w:sz w:val="24"/>
          <w:szCs w:val="24"/>
        </w:rPr>
        <w:t xml:space="preserve"> Ward</w:t>
      </w:r>
    </w:p>
    <w:p w14:paraId="1EAB080B" w14:textId="77777777" w:rsidR="003039BC" w:rsidRPr="00116D0B" w:rsidRDefault="003039BC" w:rsidP="00942864">
      <w:pPr>
        <w:widowControl/>
        <w:autoSpaceDE/>
        <w:autoSpaceDN/>
        <w:spacing w:before="100" w:beforeAutospacing="1" w:after="100" w:afterAutospacing="1" w:line="276" w:lineRule="auto"/>
        <w:jc w:val="both"/>
        <w:rPr>
          <w:rFonts w:ascii="Garamond" w:eastAsia="Calibri" w:hAnsi="Garamond" w:cs="Times New Roman"/>
          <w:b/>
          <w:sz w:val="24"/>
          <w:szCs w:val="24"/>
        </w:rPr>
      </w:pPr>
    </w:p>
    <w:p w14:paraId="11A51985" w14:textId="5CCF5B83" w:rsidR="00942864" w:rsidRPr="00116D0B" w:rsidRDefault="003039BC" w:rsidP="003039BC">
      <w:pPr>
        <w:pStyle w:val="TOC3"/>
      </w:pPr>
      <w:r w:rsidRPr="00116D0B">
        <w:t>4.5.3</w:t>
      </w:r>
      <w:r w:rsidRPr="00116D0B">
        <w:tab/>
      </w:r>
      <w:r w:rsidR="00942864" w:rsidRPr="00116D0B">
        <w:t>I</w:t>
      </w:r>
      <w:r w:rsidRPr="00116D0B">
        <w:t>mpact</w:t>
      </w:r>
    </w:p>
    <w:p w14:paraId="05D0C927"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impact of the project on community development processes is multifaceted and far-reaching, as gleaned from the interviews and focus group discussions (FGDs). One notable outcome is the emergence of unanticipated effects, such as administrative leaders utilizing personal resources to fund self-help </w:t>
      </w:r>
      <w:r w:rsidRPr="00116D0B">
        <w:rPr>
          <w:rFonts w:ascii="Garamond" w:eastAsia="Calibri" w:hAnsi="Garamond" w:cs="Times New Roman"/>
          <w:sz w:val="24"/>
          <w:szCs w:val="24"/>
        </w:rPr>
        <w:lastRenderedPageBreak/>
        <w:t>projects. This underscores increased community involvement in development initiatives, showcasing a shift towards grassroots-driven development. Moreover, previously uninvolved individuals have transformed into advocates and champions of the project, mobilizing support within their communities and fostering a culture of active participation.</w:t>
      </w:r>
    </w:p>
    <w:p w14:paraId="35C19BBC"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project's capacity-building efforts have yielded broader impacts, extending to individuals beyond the project's initial target audience. This inclusive approach has resulted in heightened community ownership and sustainability of development efforts. By empowering a wider spectrum of community members with the skills and knowledge necessary for effective engagement, the project has laid the foundation for lasting change.</w:t>
      </w:r>
    </w:p>
    <w:p w14:paraId="5F804879" w14:textId="2D438F68"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Positive changes in the dynamics between community members and government stakeholders are evident. Improved harmony and peace among community members have created an environment conducive </w:t>
      </w:r>
      <w:r w:rsidR="00EC29B5">
        <w:rPr>
          <w:rFonts w:ascii="Garamond" w:eastAsia="Calibri" w:hAnsi="Garamond" w:cs="Times New Roman"/>
          <w:sz w:val="24"/>
          <w:szCs w:val="24"/>
        </w:rPr>
        <w:t>for</w:t>
      </w:r>
      <w:r w:rsidRPr="00116D0B">
        <w:rPr>
          <w:rFonts w:ascii="Garamond" w:eastAsia="Calibri" w:hAnsi="Garamond" w:cs="Times New Roman"/>
          <w:sz w:val="24"/>
          <w:szCs w:val="24"/>
        </w:rPr>
        <w:t xml:space="preserve"> collaboration and collective decision-making. Government stakeholders now actively involve communities in budget planning and decision-making processes, promoting transparency and accountability. This collaborative approach has enhanced trust between communities and government institutions, fostering a sense of shared responsibility for development.</w:t>
      </w:r>
    </w:p>
    <w:p w14:paraId="5769273E"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In terms of service delivery improvement, collaborative planning has been instrumental. Capacity building in monitoring and evaluation has led to increased accountability among service providers, resulting in improved service quality and accessibility. Furthermore, community engagement in planning processes has ensured that services are tailored to meet local needs, enhancing their timeliness and relevance. This participatory approach has facilitated the alignment of development interventions with the priorities and aspirations of the community.</w:t>
      </w:r>
    </w:p>
    <w:p w14:paraId="781354D4" w14:textId="5C47FE15"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Looking ahead, enhanced participatory engagement is envisioned to drive long-term development and cohesion. Continued engagement and training are expected to further embed a culture of community ownership of development initiat</w:t>
      </w:r>
      <w:r w:rsidR="004343E3">
        <w:rPr>
          <w:rFonts w:ascii="Garamond" w:eastAsia="Calibri" w:hAnsi="Garamond" w:cs="Times New Roman"/>
          <w:sz w:val="24"/>
          <w:szCs w:val="24"/>
        </w:rPr>
        <w:t>ives. The CDP</w:t>
      </w:r>
      <w:r w:rsidRPr="00116D0B">
        <w:rPr>
          <w:rFonts w:ascii="Garamond" w:eastAsia="Calibri" w:hAnsi="Garamond" w:cs="Times New Roman"/>
          <w:sz w:val="24"/>
          <w:szCs w:val="24"/>
        </w:rPr>
        <w:t xml:space="preserve"> serves as a roadmap for future activities, facilitating ongoing collaboration and goal alignment among stakeholders. Overall, the project has not only improved immediate socio-economic outcomes but also laid the groundwork for sustained development and community empowerment in the long run.</w:t>
      </w:r>
    </w:p>
    <w:p w14:paraId="18AA4B05"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"I think the project helped in breaking barriers between the member s of my community and our government leaders."-  KII with traditional leader, Michika ii Ward</w:t>
      </w:r>
    </w:p>
    <w:p w14:paraId="580CB7FC"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lang w:val="en-GB"/>
        </w:rPr>
      </w:pPr>
      <w:r w:rsidRPr="00116D0B">
        <w:rPr>
          <w:rFonts w:ascii="Garamond" w:eastAsia="Calibri" w:hAnsi="Garamond" w:cs="Times New Roman"/>
          <w:b/>
          <w:i/>
          <w:sz w:val="24"/>
          <w:szCs w:val="24"/>
        </w:rPr>
        <w:t>The community, including all WDSC members, totally supported the project because of the government's collaborative efforts. We are grateful for the dedication of at least 25 WDSC members who served on the project -</w:t>
      </w:r>
      <w:r w:rsidRPr="00116D0B">
        <w:rPr>
          <w:rFonts w:ascii="Garamond" w:eastAsia="Calibri" w:hAnsi="Garamond" w:cs="Times New Roman"/>
          <w:b/>
          <w:sz w:val="24"/>
          <w:szCs w:val="24"/>
          <w:lang w:val="en-GB"/>
        </w:rPr>
        <w:t xml:space="preserve"> </w:t>
      </w:r>
      <w:r w:rsidRPr="00116D0B">
        <w:rPr>
          <w:rFonts w:ascii="Garamond" w:eastAsia="Calibri" w:hAnsi="Garamond" w:cs="Times New Roman"/>
          <w:b/>
          <w:i/>
          <w:sz w:val="24"/>
          <w:szCs w:val="24"/>
          <w:lang w:val="en-GB"/>
        </w:rPr>
        <w:t>KII with State partners</w:t>
      </w:r>
    </w:p>
    <w:p w14:paraId="7AFB2F16"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"We were taught how to lobby through the government. We did the last time and we succeeded because they gave us support. This creates more social cohesion in this community."- Mixed FGD, Wambilimi/Tilli</w:t>
      </w:r>
    </w:p>
    <w:p w14:paraId="114A5874"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lastRenderedPageBreak/>
        <w:t>"Before, if there would be a meeting, people with disabilities are not allowed to attend...Oxfam taught us how to invite everyone to the meeting...The teaching we had from Oxfam helped us understand that everyone is important in planning and implementation." -  FGD with male group Michika ii</w:t>
      </w:r>
    </w:p>
    <w:p w14:paraId="6C301E8C"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"It brought about unity among our leaders, built stronger partnership with those who are rich, influential and other government stakeholders."-  FGD with Female group, </w:t>
      </w:r>
      <w:proofErr w:type="spellStart"/>
      <w:r w:rsidRPr="00116D0B">
        <w:rPr>
          <w:rFonts w:ascii="Garamond" w:eastAsia="Calibri" w:hAnsi="Garamond" w:cs="Times New Roman"/>
          <w:b/>
          <w:i/>
          <w:sz w:val="24"/>
          <w:szCs w:val="24"/>
        </w:rPr>
        <w:t>Garta</w:t>
      </w:r>
      <w:proofErr w:type="spellEnd"/>
      <w:r w:rsidRPr="00116D0B">
        <w:rPr>
          <w:rFonts w:ascii="Garamond" w:eastAsia="Calibri" w:hAnsi="Garamond" w:cs="Times New Roman"/>
          <w:b/>
          <w:i/>
          <w:sz w:val="24"/>
          <w:szCs w:val="24"/>
        </w:rPr>
        <w:t>/</w:t>
      </w:r>
      <w:proofErr w:type="spellStart"/>
      <w:r w:rsidRPr="00116D0B">
        <w:rPr>
          <w:rFonts w:ascii="Garamond" w:eastAsia="Calibri" w:hAnsi="Garamond" w:cs="Times New Roman"/>
          <w:b/>
          <w:i/>
          <w:sz w:val="24"/>
          <w:szCs w:val="24"/>
        </w:rPr>
        <w:t>Ghunchi</w:t>
      </w:r>
      <w:proofErr w:type="spellEnd"/>
      <w:r w:rsidRPr="00116D0B">
        <w:rPr>
          <w:rFonts w:ascii="Garamond" w:eastAsia="Calibri" w:hAnsi="Garamond" w:cs="Times New Roman"/>
          <w:b/>
          <w:i/>
          <w:sz w:val="24"/>
          <w:szCs w:val="24"/>
        </w:rPr>
        <w:t xml:space="preserve"> </w:t>
      </w:r>
    </w:p>
    <w:p w14:paraId="75C82014" w14:textId="4871701D" w:rsidR="00942864" w:rsidRPr="00116D0B" w:rsidRDefault="003039BC" w:rsidP="003039BC">
      <w:pPr>
        <w:pStyle w:val="TOC3"/>
      </w:pPr>
      <w:r w:rsidRPr="00116D0B">
        <w:t>4.5.4</w:t>
      </w:r>
      <w:r w:rsidRPr="00116D0B">
        <w:tab/>
        <w:t>Cross Cutting Issues</w:t>
      </w:r>
    </w:p>
    <w:p w14:paraId="1983A923"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project's approach to gender equality in participatory engagement and planning processes was a critical aspect of its implementation. Through deliberate efforts, the project aimed to promote gender equality by ensuring equal opportunities for participation in project activities for women and men in decision-making processes. Gender perspectives were integrated into the design and implementation of capacity-building activities, ensuring that both women and men were equipped with the necessary skills and knowledge to participate effectively.</w:t>
      </w:r>
    </w:p>
    <w:p w14:paraId="6AFC5F95"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Various measures were taken to ensure equal participation and decision-making opportunities for women and men. These included targeted outreach to women's groups, the establishment of gender-balanced committees, and the provision of gender-sensitive training sessions. Additionally, the project emphasized the importance of addressing cultural and societal norms that may hinder women's participation, advocating for their inclusion at all levels of community development planning and implementation.</w:t>
      </w:r>
    </w:p>
    <w:p w14:paraId="6EEBB5FC"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As a result of these interventions, observable changes in gender roles, responsibilities, and power dynamics were noted within the targeted communities and stakeholders. Women, in particular, experienced increased confidence and agency in decision-making processes, leading to greater representation and leadership roles within community structures. This shift contributed to more inclusive and equitable development outcomes, with gender considerations being integrated into various aspects of community planning and implementation.</w:t>
      </w:r>
    </w:p>
    <w:p w14:paraId="63B18340"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Regarding the inclusion of vulnerable groups, the project demonstrated a commitment to addressing their needs and priorities. Targeted strategies and interventions were implemented to ensure the meaningful participation and representation of marginalized communities, persons with disabilities, and ethnic minorities. These efforts included tailored outreach programs, accessibility accommodations, and sensitivity training for project staff and stakeholders.</w:t>
      </w:r>
    </w:p>
    <w:p w14:paraId="2C050E16"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Moreover, the project took steps to mainstream the inclusion of vulnerable groups into broader community development plans and initiatives beyond its scope. By collaborating with local authorities, civil society organizations, and other stakeholders, the project sought to institutionalize inclusive practices and policies that would continue to support vulnerable groups even after the project's conclusion. Overall, the project's efforts in promoting gender equality and inclusion of vulnerable groups have contributed to more equitable and sustainable community development outcomes.</w:t>
      </w:r>
    </w:p>
    <w:p w14:paraId="58FA21AE" w14:textId="7644AECF"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sz w:val="24"/>
          <w:szCs w:val="24"/>
        </w:rPr>
      </w:pPr>
      <w:r w:rsidRPr="00116D0B">
        <w:rPr>
          <w:rFonts w:ascii="Garamond" w:eastAsia="Calibri" w:hAnsi="Garamond" w:cs="Times New Roman"/>
          <w:b/>
          <w:i/>
          <w:sz w:val="24"/>
          <w:szCs w:val="24"/>
        </w:rPr>
        <w:lastRenderedPageBreak/>
        <w:t>"In fact, we made it clear that any project an</w:t>
      </w:r>
      <w:r w:rsidR="00EC29B5">
        <w:rPr>
          <w:rFonts w:ascii="Garamond" w:eastAsia="Calibri" w:hAnsi="Garamond" w:cs="Times New Roman"/>
          <w:b/>
          <w:i/>
          <w:sz w:val="24"/>
          <w:szCs w:val="24"/>
        </w:rPr>
        <w:t>d</w:t>
      </w:r>
      <w:r w:rsidRPr="00116D0B">
        <w:rPr>
          <w:rFonts w:ascii="Garamond" w:eastAsia="Calibri" w:hAnsi="Garamond" w:cs="Times New Roman"/>
          <w:b/>
          <w:i/>
          <w:sz w:val="24"/>
          <w:szCs w:val="24"/>
        </w:rPr>
        <w:t xml:space="preserve"> activity must include an equal number of men and women participants." -  KII with WDSC member</w:t>
      </w:r>
    </w:p>
    <w:p w14:paraId="0EEAF930"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sz w:val="24"/>
          <w:szCs w:val="24"/>
        </w:rPr>
      </w:pPr>
      <w:r w:rsidRPr="00116D0B">
        <w:rPr>
          <w:rFonts w:ascii="Garamond" w:eastAsia="Calibri" w:hAnsi="Garamond" w:cs="Times New Roman"/>
          <w:b/>
          <w:i/>
          <w:sz w:val="24"/>
          <w:szCs w:val="24"/>
        </w:rPr>
        <w:t xml:space="preserve">"We invited all community stakeholders even the PLWDS, they were happy and gave their full support and cooperation." - </w:t>
      </w:r>
      <w:r w:rsidRPr="00116D0B">
        <w:rPr>
          <w:rFonts w:ascii="Garamond" w:eastAsia="Calibri" w:hAnsi="Garamond" w:cs="Times New Roman"/>
          <w:b/>
          <w:sz w:val="24"/>
          <w:szCs w:val="24"/>
        </w:rPr>
        <w:t xml:space="preserve">  </w:t>
      </w:r>
      <w:r w:rsidRPr="00116D0B">
        <w:rPr>
          <w:rFonts w:ascii="Garamond" w:eastAsia="Calibri" w:hAnsi="Garamond" w:cs="Times New Roman"/>
          <w:b/>
          <w:i/>
          <w:sz w:val="24"/>
          <w:szCs w:val="24"/>
        </w:rPr>
        <w:t xml:space="preserve">FGD with male group, Sina </w:t>
      </w:r>
      <w:proofErr w:type="spellStart"/>
      <w:r w:rsidRPr="00116D0B">
        <w:rPr>
          <w:rFonts w:ascii="Garamond" w:eastAsia="Calibri" w:hAnsi="Garamond" w:cs="Times New Roman"/>
          <w:b/>
          <w:i/>
          <w:sz w:val="24"/>
          <w:szCs w:val="24"/>
        </w:rPr>
        <w:t>kamale</w:t>
      </w:r>
      <w:proofErr w:type="spellEnd"/>
    </w:p>
    <w:p w14:paraId="67666C45" w14:textId="77777777" w:rsidR="00942864" w:rsidRPr="00116D0B" w:rsidRDefault="00942864" w:rsidP="00942864">
      <w:pPr>
        <w:widowControl/>
        <w:autoSpaceDE/>
        <w:autoSpaceDN/>
        <w:spacing w:before="100" w:beforeAutospacing="1" w:after="100" w:afterAutospacing="1" w:line="276" w:lineRule="auto"/>
        <w:jc w:val="center"/>
        <w:rPr>
          <w:rFonts w:ascii="Garamond" w:eastAsia="Calibri" w:hAnsi="Garamond" w:cs="Times New Roman"/>
          <w:b/>
          <w:sz w:val="24"/>
          <w:szCs w:val="24"/>
        </w:rPr>
      </w:pPr>
      <w:r w:rsidRPr="00116D0B">
        <w:rPr>
          <w:rFonts w:ascii="Garamond" w:eastAsia="Calibri" w:hAnsi="Garamond" w:cs="Times New Roman"/>
          <w:b/>
          <w:i/>
          <w:sz w:val="24"/>
          <w:szCs w:val="24"/>
        </w:rPr>
        <w:t xml:space="preserve">"Before Oxfam came, men do meeting without involving women or even people with disabilities. After the capacity building training, nobody is left out."- Mixed FGD, </w:t>
      </w:r>
      <w:proofErr w:type="spellStart"/>
      <w:r w:rsidRPr="00116D0B">
        <w:rPr>
          <w:rFonts w:ascii="Garamond" w:eastAsia="Calibri" w:hAnsi="Garamond" w:cs="Times New Roman"/>
          <w:b/>
          <w:i/>
          <w:sz w:val="24"/>
          <w:szCs w:val="24"/>
        </w:rPr>
        <w:t>Garta</w:t>
      </w:r>
      <w:proofErr w:type="spellEnd"/>
      <w:r w:rsidRPr="00116D0B">
        <w:rPr>
          <w:rFonts w:ascii="Garamond" w:eastAsia="Calibri" w:hAnsi="Garamond" w:cs="Times New Roman"/>
          <w:b/>
          <w:i/>
          <w:sz w:val="24"/>
          <w:szCs w:val="24"/>
        </w:rPr>
        <w:t xml:space="preserve"> </w:t>
      </w:r>
      <w:proofErr w:type="spellStart"/>
      <w:r w:rsidRPr="00116D0B">
        <w:rPr>
          <w:rFonts w:ascii="Garamond" w:eastAsia="Calibri" w:hAnsi="Garamond" w:cs="Times New Roman"/>
          <w:b/>
          <w:i/>
          <w:sz w:val="24"/>
          <w:szCs w:val="24"/>
        </w:rPr>
        <w:t>Ghumchi</w:t>
      </w:r>
      <w:proofErr w:type="spellEnd"/>
    </w:p>
    <w:p w14:paraId="5F5477FE" w14:textId="39C161BB" w:rsidR="00942864" w:rsidRDefault="00942864"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r w:rsidRPr="00116D0B">
        <w:rPr>
          <w:rFonts w:ascii="Garamond" w:eastAsia="Calibri" w:hAnsi="Garamond" w:cs="Times New Roman"/>
          <w:b/>
          <w:i/>
          <w:sz w:val="24"/>
          <w:szCs w:val="24"/>
        </w:rPr>
        <w:t xml:space="preserve">"Prior to now, in Michika LGA, youths, people living with disability were left behind, nobody is calling them for any activities, nobody is calling them for community development planning, and nobody is calling them for community development services. But now whatever is happening, everybody is included, everyone is carried along." - </w:t>
      </w:r>
      <w:r w:rsidRPr="00116D0B">
        <w:rPr>
          <w:rFonts w:ascii="Garamond" w:eastAsia="Calibri" w:hAnsi="Garamond" w:cs="Times New Roman"/>
          <w:b/>
          <w:sz w:val="24"/>
          <w:szCs w:val="24"/>
        </w:rPr>
        <w:t xml:space="preserve"> </w:t>
      </w:r>
      <w:r w:rsidRPr="00116D0B">
        <w:rPr>
          <w:rFonts w:ascii="Garamond" w:eastAsia="Calibri" w:hAnsi="Garamond" w:cs="Times New Roman"/>
          <w:b/>
          <w:i/>
          <w:sz w:val="24"/>
          <w:szCs w:val="24"/>
        </w:rPr>
        <w:t>KII with state Partners</w:t>
      </w:r>
    </w:p>
    <w:p w14:paraId="4ACF0EB0" w14:textId="77777777" w:rsidR="00842D36" w:rsidRPr="00116D0B" w:rsidRDefault="00842D36" w:rsidP="00942864">
      <w:pPr>
        <w:widowControl/>
        <w:autoSpaceDE/>
        <w:autoSpaceDN/>
        <w:spacing w:before="100" w:beforeAutospacing="1" w:after="100" w:afterAutospacing="1" w:line="276" w:lineRule="auto"/>
        <w:jc w:val="center"/>
        <w:rPr>
          <w:rFonts w:ascii="Garamond" w:eastAsia="Calibri" w:hAnsi="Garamond" w:cs="Times New Roman"/>
          <w:b/>
          <w:i/>
          <w:sz w:val="24"/>
          <w:szCs w:val="24"/>
        </w:rPr>
      </w:pPr>
    </w:p>
    <w:p w14:paraId="468C3ED0" w14:textId="0E766366" w:rsidR="00942864" w:rsidRPr="00116D0B" w:rsidRDefault="003039BC" w:rsidP="003039BC">
      <w:pPr>
        <w:pStyle w:val="TOC3"/>
      </w:pPr>
      <w:r w:rsidRPr="00116D0B">
        <w:t>4.5.5</w:t>
      </w:r>
      <w:r w:rsidRPr="00116D0B">
        <w:tab/>
      </w:r>
      <w:r w:rsidR="00942864" w:rsidRPr="00116D0B">
        <w:t>Sustainability</w:t>
      </w:r>
    </w:p>
    <w:p w14:paraId="0D528EDA"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Several factors contribute to the sustainability of the project's outcomes beyond its duration:</w:t>
      </w:r>
    </w:p>
    <w:p w14:paraId="333EFA24" w14:textId="77777777"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 xml:space="preserve">Community Ownership: </w:t>
      </w:r>
      <w:r w:rsidRPr="00757A6C">
        <w:rPr>
          <w:rFonts w:ascii="Garamond" w:eastAsia="Calibri" w:hAnsi="Garamond" w:cs="Times New Roman"/>
          <w:sz w:val="24"/>
          <w:szCs w:val="24"/>
        </w:rPr>
        <w:t xml:space="preserve">Firstly, community ownership plays a crucial role. The project has empowered communities to take ownership of their development processes, instilling a sense of responsibility and accountability among community members. This active engagement ensures that development initiatives are aligned with local priorities and are more likely to be sustained over time. Additionally, stakeholder buy-in, particularly from government stakeholders and local civil society organizations, enhances sustainability. By fostering partnerships and collaboration among diverse stakeholders, the project builds consensus and ensures that decisions and actions are supported by all relevant actors. </w:t>
      </w:r>
    </w:p>
    <w:p w14:paraId="120F12B8" w14:textId="77777777"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 xml:space="preserve">Endorsement of Traditional Leaders: </w:t>
      </w:r>
      <w:r w:rsidRPr="00757A6C">
        <w:rPr>
          <w:rFonts w:ascii="Garamond" w:eastAsia="Calibri" w:hAnsi="Garamond" w:cs="Times New Roman"/>
          <w:sz w:val="24"/>
          <w:szCs w:val="24"/>
        </w:rPr>
        <w:t>The sustainability of the project is further strengthened by the endorsement and commitment of traditional leaders in Michika LGA. These leaders, as permanent institutions within the community, have pledged their support in ensuring that both current and future political office holders uphold the CDP. Their endorsement signifies a long-term commitment to the project's goals and objectives, thereby fostering continuity and adherence to the development agenda set forth by the CDP. This support from traditional institutions adds a layer of stability and oversight to the project, ensuring that it remains rooted in the community's needs and aspirations over time.</w:t>
      </w:r>
    </w:p>
    <w:p w14:paraId="674DD5F0" w14:textId="77777777"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Institutionalizing Participatory Engagement and Planning in the Local Government:</w:t>
      </w:r>
      <w:r w:rsidRPr="00757A6C">
        <w:rPr>
          <w:rFonts w:ascii="Garamond" w:eastAsia="Calibri" w:hAnsi="Garamond" w:cs="Times New Roman"/>
          <w:sz w:val="24"/>
          <w:szCs w:val="24"/>
        </w:rPr>
        <w:t xml:space="preserve"> The project has made significant strides in institutionalizing mechanisms for participatory engagement and planning within local government structures. Leveraging the Adamawa State Citizen Engagement and Participatory Policy, the project has embedded these mechanisms into the governance framework. Structures such as the State Development Coordination Committee, Michika Local Government Coordination Committee, Ward development coordination committee </w:t>
      </w:r>
      <w:r w:rsidRPr="00757A6C">
        <w:rPr>
          <w:rFonts w:ascii="Garamond" w:eastAsia="Calibri" w:hAnsi="Garamond" w:cs="Times New Roman"/>
          <w:sz w:val="24"/>
          <w:szCs w:val="24"/>
        </w:rPr>
        <w:lastRenderedPageBreak/>
        <w:t>and the Ward Development Support Committee have been established to ensure the sustainability of participatory practices beyond the project's duration. These committees serve as platforms for ongoing dialogue, coordination, and collaboration between community members, government stakeholders, and civil society organizations, thereby fostering a culture of inclusivity and collective decision-making.</w:t>
      </w:r>
    </w:p>
    <w:p w14:paraId="301541C3" w14:textId="77777777"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 xml:space="preserve">Development of the CDP Documents: </w:t>
      </w:r>
      <w:r w:rsidRPr="00757A6C">
        <w:rPr>
          <w:rFonts w:ascii="Garamond" w:eastAsia="Calibri" w:hAnsi="Garamond" w:cs="Times New Roman"/>
          <w:sz w:val="24"/>
          <w:szCs w:val="24"/>
        </w:rPr>
        <w:t>The CDP document serves as a pivotal tool for ensuring sustainability within the project framework. As a five-year development plan, it acts as a roadmap for guiding development activities within the Michika LGA. By capturing the development priorities of the people across various sectors, the CDP ensures that interventions are aligned with community needs and aspirations. Moreover, the development of a robust monitoring and evaluation framework for the CDP further enhances sustainability. This framework allows for systematic tracking of progress, identification of challenges, and adjustment of strategies as needed, thereby ensuring that the development trajectory remains on course over the long term.</w:t>
      </w:r>
    </w:p>
    <w:p w14:paraId="3A88AD0F" w14:textId="075F427A"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 xml:space="preserve">Training and Capacity Building of the LGA Political and Administrative Staff: </w:t>
      </w:r>
      <w:r w:rsidRPr="00757A6C">
        <w:rPr>
          <w:rFonts w:ascii="Garamond" w:eastAsia="Calibri" w:hAnsi="Garamond" w:cs="Times New Roman"/>
          <w:sz w:val="24"/>
          <w:szCs w:val="24"/>
        </w:rPr>
        <w:t>The training and capacity-building initiatives targeting LGA officials, particularly administrative staff, are instrumental in embedding sustainability within the project's implementation framework. By equipping these officials with skills in monitoring and evaluation, translation of the CDP into actionable budgets, budget preparation using the</w:t>
      </w:r>
      <w:r w:rsidR="004343E3" w:rsidRPr="00757A6C">
        <w:rPr>
          <w:rFonts w:ascii="Garamond" w:eastAsia="Calibri" w:hAnsi="Garamond" w:cs="Times New Roman"/>
          <w:sz w:val="24"/>
          <w:szCs w:val="24"/>
        </w:rPr>
        <w:t xml:space="preserve"> IPSAS</w:t>
      </w:r>
      <w:r w:rsidRPr="00757A6C">
        <w:rPr>
          <w:rFonts w:ascii="Garamond" w:eastAsia="Calibri" w:hAnsi="Garamond" w:cs="Times New Roman"/>
          <w:sz w:val="24"/>
          <w:szCs w:val="24"/>
        </w:rPr>
        <w:t>, costing budget items, and gender-responsive budgeting, the project ensures that local institutions are capable of effectively managing and sustaining development initiatives beyond the project's lifespan.</w:t>
      </w:r>
    </w:p>
    <w:p w14:paraId="2863DC69" w14:textId="0321A23B" w:rsidR="00942864" w:rsidRPr="00757A6C" w:rsidRDefault="00942864" w:rsidP="00757A6C">
      <w:pPr>
        <w:pStyle w:val="ListParagraph"/>
        <w:widowControl/>
        <w:numPr>
          <w:ilvl w:val="0"/>
          <w:numId w:val="36"/>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 xml:space="preserve">Development of the Multisectoral Costed Action Plan (CAP): </w:t>
      </w:r>
      <w:r w:rsidRPr="00757A6C">
        <w:rPr>
          <w:rFonts w:ascii="Garamond" w:eastAsia="Calibri" w:hAnsi="Garamond" w:cs="Times New Roman"/>
          <w:sz w:val="24"/>
          <w:szCs w:val="24"/>
        </w:rPr>
        <w:t>Furth</w:t>
      </w:r>
      <w:r w:rsidR="004343E3" w:rsidRPr="00757A6C">
        <w:rPr>
          <w:rFonts w:ascii="Garamond" w:eastAsia="Calibri" w:hAnsi="Garamond" w:cs="Times New Roman"/>
          <w:sz w:val="24"/>
          <w:szCs w:val="24"/>
        </w:rPr>
        <w:t>ermore, the development of the CAP</w:t>
      </w:r>
      <w:r w:rsidRPr="00757A6C">
        <w:rPr>
          <w:rFonts w:ascii="Garamond" w:eastAsia="Calibri" w:hAnsi="Garamond" w:cs="Times New Roman"/>
          <w:sz w:val="24"/>
          <w:szCs w:val="24"/>
        </w:rPr>
        <w:t xml:space="preserve"> represents a significant step towards ensuring sustainability and continuity of development efforts within the Michika LGA. The CAP, derived from the priorities identified in the CDP and developed through a participatory process involving various stakeholders, provides a comprehensive implementation strategy with clearly defined goals, activities, and cost estimates across the ten focus sectors. By aligning resources and efforts towards achieving the goals outlined in the CAP, the LGA demonstrates its commitment to inclusive and participatory development planning.</w:t>
      </w:r>
    </w:p>
    <w:p w14:paraId="1A0B7852" w14:textId="710ECB8C" w:rsidR="00942864" w:rsidRPr="00116D0B" w:rsidRDefault="003039BC" w:rsidP="003039BC">
      <w:pPr>
        <w:pStyle w:val="TOC3"/>
      </w:pPr>
      <w:r w:rsidRPr="00116D0B">
        <w:t>4.5.6</w:t>
      </w:r>
      <w:r w:rsidRPr="00116D0B">
        <w:tab/>
      </w:r>
      <w:r w:rsidR="00942864" w:rsidRPr="00116D0B">
        <w:t>Lessons Learned</w:t>
      </w:r>
    </w:p>
    <w:p w14:paraId="4513A2E7" w14:textId="335B9B58"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Empowerment of Communities:</w:t>
      </w:r>
      <w:r w:rsidRPr="00757A6C">
        <w:rPr>
          <w:rFonts w:ascii="Garamond" w:eastAsia="Calibri" w:hAnsi="Garamond" w:cs="Times New Roman"/>
          <w:sz w:val="24"/>
          <w:szCs w:val="24"/>
        </w:rPr>
        <w:t xml:space="preserve"> The project underscored the inherent capacity within communities to address their own priority needs when given the opportunity and support. </w:t>
      </w:r>
      <w:r w:rsidR="005D0AF1" w:rsidRPr="00757A6C">
        <w:rPr>
          <w:rFonts w:ascii="Garamond" w:eastAsia="Calibri" w:hAnsi="Garamond" w:cs="Times New Roman"/>
          <w:sz w:val="24"/>
          <w:szCs w:val="24"/>
        </w:rPr>
        <w:t xml:space="preserve">By </w:t>
      </w:r>
      <w:r w:rsidRPr="00757A6C">
        <w:rPr>
          <w:rFonts w:ascii="Garamond" w:eastAsia="Calibri" w:hAnsi="Garamond" w:cs="Times New Roman"/>
          <w:sz w:val="24"/>
          <w:szCs w:val="24"/>
        </w:rPr>
        <w:t>fostering participatory engagement and decision-making processes, community members became active agents of change rather than passive recipients of aid. This is evident as community members during the interviews and FGDs repeatedly emphasized their new</w:t>
      </w:r>
      <w:r w:rsidR="005D0AF1" w:rsidRPr="00757A6C">
        <w:rPr>
          <w:rFonts w:ascii="Garamond" w:eastAsia="Calibri" w:hAnsi="Garamond" w:cs="Times New Roman"/>
          <w:sz w:val="24"/>
          <w:szCs w:val="24"/>
        </w:rPr>
        <w:t xml:space="preserve"> </w:t>
      </w:r>
      <w:r w:rsidRPr="00757A6C">
        <w:rPr>
          <w:rFonts w:ascii="Garamond" w:eastAsia="Calibri" w:hAnsi="Garamond" w:cs="Times New Roman"/>
          <w:sz w:val="24"/>
          <w:szCs w:val="24"/>
        </w:rPr>
        <w:t xml:space="preserve">found sense of empowerment resulting from the project's initiatives. For instance, in </w:t>
      </w:r>
      <w:r w:rsidR="005D0AF1" w:rsidRPr="00757A6C">
        <w:rPr>
          <w:rFonts w:ascii="Garamond" w:eastAsia="Calibri" w:hAnsi="Garamond" w:cs="Times New Roman"/>
          <w:sz w:val="24"/>
          <w:szCs w:val="24"/>
        </w:rPr>
        <w:t>an</w:t>
      </w:r>
      <w:r w:rsidRPr="00757A6C">
        <w:rPr>
          <w:rFonts w:ascii="Garamond" w:eastAsia="Calibri" w:hAnsi="Garamond" w:cs="Times New Roman"/>
          <w:sz w:val="24"/>
          <w:szCs w:val="24"/>
        </w:rPr>
        <w:t xml:space="preserve"> interview, a community leader highlighted how the project encouraged them to take charge of their own development agenda. They described how, through participatory engagement and decision-making processes facilitated by the project, community members became active agents of change. This empowerment was evident in various community-driven initiatives, such as the construction of culverts and boreholes, which were identified and implemented through collaborative efforts between the community and government </w:t>
      </w:r>
      <w:r w:rsidRPr="00757A6C">
        <w:rPr>
          <w:rFonts w:ascii="Garamond" w:eastAsia="Calibri" w:hAnsi="Garamond" w:cs="Times New Roman"/>
          <w:sz w:val="24"/>
          <w:szCs w:val="24"/>
        </w:rPr>
        <w:lastRenderedPageBreak/>
        <w:t>stakeholders. Additionally, community members showcased their leadership skills by organizing town hall meetings, lobbying for resources, and mobilizing support for self-help projects. This shift towards community empowerment not only led to tangible development outcomes but also instilled a sense of pride and ownership among residents, fostering a sustainable approach to community development.</w:t>
      </w:r>
    </w:p>
    <w:p w14:paraId="1D5D4BD7" w14:textId="77777777"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Local Resource Utilization:</w:t>
      </w:r>
      <w:r w:rsidRPr="00757A6C">
        <w:rPr>
          <w:rFonts w:ascii="Garamond" w:eastAsia="Calibri" w:hAnsi="Garamond" w:cs="Times New Roman"/>
          <w:sz w:val="24"/>
          <w:szCs w:val="24"/>
        </w:rPr>
        <w:t xml:space="preserve"> The project demonstrated that significant impact can be achieved with little resources when effectively utilized, challenging the misconception that large budgets are essential for community development. Through innovative approaches and leveraging existing community resources, tangible improvements were made in various sectors, highlighting the importance of local resource optimization.</w:t>
      </w:r>
    </w:p>
    <w:p w14:paraId="1F333B5E" w14:textId="77777777"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Adaptability and Flexibility:</w:t>
      </w:r>
      <w:r w:rsidRPr="00757A6C">
        <w:rPr>
          <w:rFonts w:ascii="Garamond" w:eastAsia="Calibri" w:hAnsi="Garamond" w:cs="Times New Roman"/>
          <w:sz w:val="24"/>
          <w:szCs w:val="24"/>
        </w:rPr>
        <w:t xml:space="preserve"> The project highlighted the significance of adaptability and flexibility in responding to diverse local contexts and overcoming unforeseen challenges. By tailoring strategies and interventions to suit the specific needs and dynamics of each community, the project was able to navigate complex socio-economic landscapes effectively.</w:t>
      </w:r>
    </w:p>
    <w:p w14:paraId="0B794AD6" w14:textId="77777777"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Self-Help Projects:</w:t>
      </w:r>
      <w:r w:rsidRPr="00757A6C">
        <w:rPr>
          <w:rFonts w:ascii="Garamond" w:eastAsia="Calibri" w:hAnsi="Garamond" w:cs="Times New Roman"/>
          <w:sz w:val="24"/>
          <w:szCs w:val="24"/>
        </w:rPr>
        <w:t xml:space="preserve"> Encouraging self-help initiatives within communities emerged as a key lesson, emphasizing the sustainability of solutions generated through local ownership and participation. Empowering communities to take the lead in identifying, planning, and implementing projects, the project fostered a sense of ownership and responsibility, laying the foundation for long-term impact. For instance in Michika 2 ward, community members took the initiative to repair faulty boreholes and support vulnerable groups within their community. This self-reliant approach not only addressed immediate needs but also ensured that the infrastructure remained functional through ongoing community involvement and maintenance efforts. Other self-help initiative implemented by community members included renovations of school class rooms and buying of chalk boards, buying of medical supplies to health facilities and a host of others. By fostering a sense of ownership and responsibility among residents, self-help projects not only address immediate needs but also contribute to the holistic development and resilience of communities.</w:t>
      </w:r>
    </w:p>
    <w:p w14:paraId="4738A45F" w14:textId="77777777"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Stakeholder Collaboration:</w:t>
      </w:r>
      <w:r w:rsidRPr="00757A6C">
        <w:rPr>
          <w:rFonts w:ascii="Garamond" w:eastAsia="Calibri" w:hAnsi="Garamond" w:cs="Times New Roman"/>
          <w:sz w:val="24"/>
          <w:szCs w:val="24"/>
        </w:rPr>
        <w:t xml:space="preserve"> Effective collaboration between various stakeholders, including government agencies, local leaders, community-based organizations, and non-governmental organizations, is essential for successful project implementation. Building and maintaining partnerships facilitate resource sharing, knowledge exchange, and collective problem-solving.</w:t>
      </w:r>
    </w:p>
    <w:p w14:paraId="6306A5EE" w14:textId="77777777" w:rsidR="00942864" w:rsidRPr="00757A6C" w:rsidRDefault="00942864" w:rsidP="00757A6C">
      <w:pPr>
        <w:pStyle w:val="ListParagraph"/>
        <w:widowControl/>
        <w:numPr>
          <w:ilvl w:val="0"/>
          <w:numId w:val="37"/>
        </w:numPr>
        <w:autoSpaceDE/>
        <w:autoSpaceDN/>
        <w:spacing w:before="100" w:beforeAutospacing="1" w:after="100" w:afterAutospacing="1" w:line="276" w:lineRule="auto"/>
        <w:jc w:val="both"/>
        <w:rPr>
          <w:rFonts w:ascii="Garamond" w:eastAsia="Calibri" w:hAnsi="Garamond" w:cs="Times New Roman"/>
          <w:sz w:val="24"/>
          <w:szCs w:val="24"/>
        </w:rPr>
      </w:pPr>
      <w:r w:rsidRPr="00757A6C">
        <w:rPr>
          <w:rFonts w:ascii="Garamond" w:eastAsia="Calibri" w:hAnsi="Garamond" w:cs="Times New Roman"/>
          <w:b/>
          <w:sz w:val="24"/>
          <w:szCs w:val="24"/>
        </w:rPr>
        <w:t>Importance of Awareness:</w:t>
      </w:r>
      <w:r w:rsidRPr="00757A6C">
        <w:rPr>
          <w:rFonts w:ascii="Garamond" w:eastAsia="Calibri" w:hAnsi="Garamond" w:cs="Times New Roman"/>
          <w:sz w:val="24"/>
          <w:szCs w:val="24"/>
        </w:rPr>
        <w:t xml:space="preserve"> Gender sensitivity training and awareness sessions emerged as critical components in addressing gender inequalities and promoting inclusivity within project activities. By integrating gender perspectives into all aspects of planning and implementation, the project not only addressed existing disparities but also laid the groundwork for more equitable and sustainable development outcomes.</w:t>
      </w:r>
    </w:p>
    <w:p w14:paraId="11187800" w14:textId="78BF3A49" w:rsidR="00942864" w:rsidRPr="00116D0B" w:rsidRDefault="003039BC" w:rsidP="003039BC">
      <w:pPr>
        <w:pStyle w:val="TOC3"/>
      </w:pPr>
      <w:r w:rsidRPr="00116D0B">
        <w:t>4.5.7</w:t>
      </w:r>
      <w:r w:rsidRPr="00116D0B">
        <w:tab/>
        <w:t>Challenges</w:t>
      </w:r>
    </w:p>
    <w:p w14:paraId="72C057FC" w14:textId="41E21E8E"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b/>
          <w:sz w:val="24"/>
          <w:szCs w:val="24"/>
        </w:rPr>
        <w:t>Resistance to Change and Apathy from Community Members</w:t>
      </w:r>
    </w:p>
    <w:p w14:paraId="57FC6365"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Initially, community members exhibited skepticism and a resistance to change, expecting immediate monetary benefits rather than embracing the project's participatory approach. This resistance stemmed </w:t>
      </w:r>
      <w:r w:rsidRPr="00116D0B">
        <w:rPr>
          <w:rFonts w:ascii="Garamond" w:eastAsia="Calibri" w:hAnsi="Garamond" w:cs="Times New Roman"/>
          <w:sz w:val="24"/>
          <w:szCs w:val="24"/>
        </w:rPr>
        <w:lastRenderedPageBreak/>
        <w:t>from a reliance on past humanitarian interventions that provided direct financial incentives. Overcoming this mindset required extensive community engagement and education to emphasize the long-term benefits of participatory planning and self-reliance.</w:t>
      </w:r>
    </w:p>
    <w:p w14:paraId="087DF57B"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Capacity Constraints of Local Government Officials</w:t>
      </w:r>
    </w:p>
    <w:p w14:paraId="633F36B7"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 xml:space="preserve">The project encountered difficulties because of differences in the skill levels of local government officials, especially those in administrative roles. While some officials quickly understood the goals and ideas of the project, others found it challenging to grasp and put them into action effectively. Nonetheless, the project team made consistent efforts to provide training and enhance the capabilities of the local government staff to ensure a more uniform understanding and implementation of the project objectives across all levels of the administration. </w:t>
      </w:r>
    </w:p>
    <w:p w14:paraId="0B22EBD1"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Interpersonal and Inter-Institutional Differences</w:t>
      </w:r>
    </w:p>
    <w:p w14:paraId="55BD6287"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Initially, Deep-seated differences among political, administrative, and traditional leaders within the community often created tensions during dialogue sessions. These differences often manifested during stakeholder dialogue sessions, where confrontations and blame-shifting impeded collaborative decision-making and project progress. Overcoming these challenges required delicate mediation and consensus-building efforts to foster a harmonious working relationship among stakeholders.</w:t>
      </w:r>
    </w:p>
    <w:p w14:paraId="5D79B852"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Terrain and Security Challenges</w:t>
      </w:r>
    </w:p>
    <w:p w14:paraId="21A1157B"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project faced logistical challenges due to Michika's mountainous terrain and security risks, including incidents of kidnapping. These factors posed significant hurdles to fieldwork and engagement activities, making it difficult to access remote communities safely. Additionally, heavy rainfall further exacerbated the situation by rendering certain areas inaccessible, necessitating meticulous planning and coordination with security agencies to ensure the safety of project personnel.</w:t>
      </w:r>
    </w:p>
    <w:p w14:paraId="3BC1D48B"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b/>
          <w:sz w:val="24"/>
          <w:szCs w:val="24"/>
        </w:rPr>
      </w:pPr>
      <w:r w:rsidRPr="00116D0B">
        <w:rPr>
          <w:rFonts w:ascii="Garamond" w:eastAsia="Calibri" w:hAnsi="Garamond" w:cs="Times New Roman"/>
          <w:b/>
          <w:sz w:val="24"/>
          <w:szCs w:val="24"/>
        </w:rPr>
        <w:t>Turnover of Outgoing Political Office Holders</w:t>
      </w:r>
    </w:p>
    <w:p w14:paraId="1603AF91" w14:textId="5C33E35A" w:rsidR="002E025E"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The imminent turnover of outgoing political office holders who were actively involved in the project posed a threat to its sustainability. The concern was that incoming officials might not fully grasp the significance of the project, leading to discontinuity or neglect. Mitigating this challenge necessitated proactive engagement with incoming office holders and building their understanding of the project's objectives to ensure continued support and commitment. The project team however took proactive measures. Firstly, outgoing political leaders committed to remaining engaged as project patrons post-tenure, ensuring continuity and knowledge transfer to their successors. Additionally, the project diversified its engagement beyond political leaders, involving civil servants who possess institutional knowledge and can facilitate smooth transitions for new officials.</w:t>
      </w:r>
    </w:p>
    <w:p w14:paraId="4DA5C8E3" w14:textId="77777777" w:rsidR="002E025E" w:rsidRPr="00116D0B" w:rsidRDefault="002E025E">
      <w:pPr>
        <w:rPr>
          <w:rFonts w:ascii="Garamond" w:eastAsia="Calibri" w:hAnsi="Garamond" w:cs="Times New Roman"/>
          <w:sz w:val="24"/>
          <w:szCs w:val="24"/>
        </w:rPr>
      </w:pPr>
      <w:r w:rsidRPr="00116D0B">
        <w:rPr>
          <w:rFonts w:ascii="Garamond" w:eastAsia="Calibri" w:hAnsi="Garamond" w:cs="Times New Roman"/>
          <w:sz w:val="24"/>
          <w:szCs w:val="24"/>
        </w:rPr>
        <w:br w:type="page"/>
      </w:r>
    </w:p>
    <w:p w14:paraId="7EB983A4" w14:textId="5896B2F6" w:rsidR="002A426B" w:rsidRPr="00116D0B" w:rsidRDefault="002E025E" w:rsidP="00757A6C">
      <w:pPr>
        <w:pStyle w:val="Heading1"/>
        <w:numPr>
          <w:ilvl w:val="1"/>
          <w:numId w:val="33"/>
        </w:numPr>
        <w:spacing w:line="276" w:lineRule="auto"/>
        <w:ind w:left="720"/>
      </w:pPr>
      <w:bookmarkStart w:id="101" w:name="_Toc166775427"/>
      <w:r w:rsidRPr="00116D0B">
        <w:lastRenderedPageBreak/>
        <w:t>CONCLUSION AND RECOMMENDATIONS</w:t>
      </w:r>
      <w:bookmarkEnd w:id="101"/>
    </w:p>
    <w:p w14:paraId="7652EA07" w14:textId="6F6EFF50" w:rsidR="002A426B" w:rsidRPr="00116D0B" w:rsidRDefault="002E025E" w:rsidP="00757A6C">
      <w:pPr>
        <w:pStyle w:val="Heading1"/>
        <w:spacing w:line="276" w:lineRule="auto"/>
      </w:pPr>
      <w:bookmarkStart w:id="102" w:name="_Toc166775428"/>
      <w:r w:rsidRPr="00116D0B">
        <w:t>5.1</w:t>
      </w:r>
      <w:r w:rsidRPr="00116D0B">
        <w:tab/>
        <w:t>Conclusion</w:t>
      </w:r>
      <w:bookmarkEnd w:id="102"/>
    </w:p>
    <w:p w14:paraId="1A2D81F5" w14:textId="77777777" w:rsidR="002A426B" w:rsidRPr="00FC4420" w:rsidRDefault="002A426B" w:rsidP="00FC4420">
      <w:pPr>
        <w:spacing w:after="240" w:line="276" w:lineRule="auto"/>
        <w:jc w:val="both"/>
        <w:rPr>
          <w:rFonts w:ascii="Garamond" w:hAnsi="Garamond"/>
          <w:sz w:val="24"/>
          <w:szCs w:val="24"/>
        </w:rPr>
      </w:pPr>
      <w:r w:rsidRPr="00FC4420">
        <w:rPr>
          <w:rFonts w:ascii="Garamond" w:hAnsi="Garamond"/>
          <w:sz w:val="24"/>
          <w:szCs w:val="24"/>
        </w:rPr>
        <w:t>The evaluation aimed to assess the effectiveness and outcomes of the intervention designed to enhance social cohesion and promote inclusive, participatory development planning in Michika LGA. The findings indicate several positive impacts and improvements across various areas:</w:t>
      </w:r>
    </w:p>
    <w:p w14:paraId="090196DE" w14:textId="77777777" w:rsidR="00D7024D"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Demographic Insights:</w:t>
      </w:r>
      <w:r w:rsidRPr="00FC4420">
        <w:rPr>
          <w:rFonts w:ascii="Garamond" w:hAnsi="Garamond"/>
          <w:sz w:val="24"/>
          <w:szCs w:val="24"/>
        </w:rPr>
        <w:t xml:space="preserve"> The survey achieved a balanced representation across gender, age, and marital status. The educational attainment levels and ethnic composition showed a predominance of the Higgi ethnic group and Christianity, highlighting the community's demographic characteristics.</w:t>
      </w:r>
    </w:p>
    <w:p w14:paraId="47E7FFE8" w14:textId="77777777" w:rsidR="00D7024D"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CDP Sessions Impact:</w:t>
      </w:r>
      <w:r w:rsidRPr="00FC4420">
        <w:rPr>
          <w:rFonts w:ascii="Garamond" w:hAnsi="Garamond"/>
          <w:sz w:val="24"/>
          <w:szCs w:val="24"/>
        </w:rPr>
        <w:t xml:space="preserve"> High participation rates (74.9%) and satisfaction levels (98.1%) underscore the effectiveness of the CDP sessions. The sessions fostered a supportive environment that encouraged participation and interaction, with a significant majority of respondents feeling safe and included post-session.</w:t>
      </w:r>
    </w:p>
    <w:p w14:paraId="31FE1B13" w14:textId="77777777" w:rsidR="00D7024D"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Community Decision-Making:</w:t>
      </w:r>
      <w:r w:rsidRPr="00FC4420">
        <w:rPr>
          <w:rFonts w:ascii="Garamond" w:hAnsi="Garamond"/>
          <w:sz w:val="24"/>
          <w:szCs w:val="24"/>
        </w:rPr>
        <w:t xml:space="preserve"> There was a marked increase in perceived community involvement in decision-making from the baseline to the endline, reflecting empowerment and a more inclusive environment. Trust in local leaders and government institutions also improved significantly.</w:t>
      </w:r>
    </w:p>
    <w:p w14:paraId="47A68140" w14:textId="5846DFA1" w:rsidR="002A426B"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Social Cohesion and Interaction:</w:t>
      </w:r>
      <w:r w:rsidRPr="00FC4420">
        <w:rPr>
          <w:rFonts w:ascii="Garamond" w:hAnsi="Garamond"/>
          <w:sz w:val="24"/>
          <w:szCs w:val="24"/>
        </w:rPr>
        <w:t xml:space="preserve"> The ease of interaction within the community improved, with 89.9% of respondents reporting no difficulties in interacting with others. There were also significant improvements in the perceived influence of community members and cooperation with local government.</w:t>
      </w:r>
    </w:p>
    <w:p w14:paraId="35FE0E21" w14:textId="77777777" w:rsidR="002A426B"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Inclusiveness and Gender Equality:</w:t>
      </w:r>
      <w:r w:rsidRPr="00FC4420">
        <w:rPr>
          <w:rFonts w:ascii="Garamond" w:hAnsi="Garamond"/>
          <w:sz w:val="24"/>
          <w:szCs w:val="24"/>
        </w:rPr>
        <w:t xml:space="preserve"> The evaluation showed progress in the inclusion of minority groups and the consideration of women's viewpoints. Women's participation in the CDP sessions was rated highly, and there was a noted improvement in perceptions of gender equality.</w:t>
      </w:r>
    </w:p>
    <w:p w14:paraId="7C2F8CB3" w14:textId="77777777" w:rsidR="002A426B"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Developmental Challenges and Initiatives:</w:t>
      </w:r>
      <w:r w:rsidRPr="00FC4420">
        <w:rPr>
          <w:rFonts w:ascii="Garamond" w:hAnsi="Garamond"/>
          <w:sz w:val="24"/>
          <w:szCs w:val="24"/>
        </w:rPr>
        <w:t xml:space="preserve"> The project effectively addressed mobilizing communities for CDP planning, resulting in socioeconomic improvements, enhanced community cohesion, and the integration of community priorities into official planning processes.</w:t>
      </w:r>
    </w:p>
    <w:p w14:paraId="1FC94693" w14:textId="12A91745" w:rsidR="002A426B" w:rsidRPr="00FC4420" w:rsidRDefault="002A426B" w:rsidP="00FC4420">
      <w:pPr>
        <w:spacing w:after="240" w:line="276" w:lineRule="auto"/>
        <w:jc w:val="both"/>
        <w:rPr>
          <w:rFonts w:ascii="Garamond" w:hAnsi="Garamond"/>
          <w:sz w:val="24"/>
          <w:szCs w:val="24"/>
        </w:rPr>
      </w:pPr>
      <w:r w:rsidRPr="00FC4420">
        <w:rPr>
          <w:rFonts w:ascii="Garamond" w:hAnsi="Garamond"/>
          <w:b/>
          <w:bCs/>
          <w:sz w:val="24"/>
          <w:szCs w:val="24"/>
        </w:rPr>
        <w:t>Sustainability and Lessons Learned:</w:t>
      </w:r>
      <w:r w:rsidRPr="00FC4420">
        <w:rPr>
          <w:rFonts w:ascii="Garamond" w:hAnsi="Garamond"/>
          <w:sz w:val="24"/>
          <w:szCs w:val="24"/>
        </w:rPr>
        <w:t xml:space="preserve"> Community ownership, endorsement from traditional leaders, and institutionalizing participatory engagement are key factors for sustainability. Lessons include the importance of empowering communities, utilizing local resources, and promoting stakeholder collaboration.</w:t>
      </w:r>
    </w:p>
    <w:p w14:paraId="07A53D43" w14:textId="77777777" w:rsidR="002A426B" w:rsidRPr="002A426B" w:rsidRDefault="002A426B" w:rsidP="00FC4420">
      <w:pPr>
        <w:spacing w:after="240" w:line="276" w:lineRule="auto"/>
        <w:jc w:val="both"/>
        <w:rPr>
          <w:b/>
          <w:szCs w:val="24"/>
        </w:rPr>
      </w:pPr>
      <w:r w:rsidRPr="00FC4420">
        <w:rPr>
          <w:rFonts w:ascii="Garamond" w:hAnsi="Garamond"/>
          <w:b/>
          <w:bCs/>
          <w:sz w:val="24"/>
          <w:szCs w:val="24"/>
        </w:rPr>
        <w:t>Challenges Encountered:</w:t>
      </w:r>
      <w:r w:rsidRPr="00FC4420">
        <w:rPr>
          <w:rFonts w:ascii="Garamond" w:hAnsi="Garamond"/>
          <w:sz w:val="24"/>
          <w:szCs w:val="24"/>
        </w:rPr>
        <w:t xml:space="preserve"> The project faced challenges such as resistance to change, capacity constraints of officials, and logistical issues due to terrain and security risks. Addressing these challenges required extensive engagement, </w:t>
      </w:r>
      <w:r w:rsidRPr="002A426B">
        <w:rPr>
          <w:szCs w:val="24"/>
        </w:rPr>
        <w:t>mediation, and coordination efforts.</w:t>
      </w:r>
    </w:p>
    <w:p w14:paraId="7DDD8258" w14:textId="1E66530F" w:rsidR="002E025E" w:rsidRPr="002A426B" w:rsidRDefault="002A426B" w:rsidP="00757A6C">
      <w:pPr>
        <w:widowControl/>
        <w:autoSpaceDE/>
        <w:autoSpaceDN/>
        <w:spacing w:before="240" w:after="240" w:line="276" w:lineRule="auto"/>
        <w:jc w:val="both"/>
        <w:rPr>
          <w:rFonts w:ascii="Garamond" w:eastAsia="Calibri" w:hAnsi="Garamond" w:cs="Times New Roman"/>
          <w:sz w:val="24"/>
          <w:szCs w:val="24"/>
        </w:rPr>
      </w:pPr>
      <w:r w:rsidRPr="00757A6C">
        <w:rPr>
          <w:rFonts w:ascii="Garamond" w:eastAsia="Calibri" w:hAnsi="Garamond" w:cs="Times New Roman"/>
          <w:sz w:val="24"/>
          <w:szCs w:val="24"/>
        </w:rPr>
        <w:t xml:space="preserve">Overall, the intervention significantly enhanced social cohesion, community participation, and inclusivity in development planning, demonstrating tangible improvements in community dynamics and perceptions. </w:t>
      </w:r>
      <w:r w:rsidRPr="00757A6C">
        <w:rPr>
          <w:rFonts w:ascii="Garamond" w:eastAsia="Calibri" w:hAnsi="Garamond" w:cs="Times New Roman"/>
          <w:sz w:val="24"/>
          <w:szCs w:val="24"/>
        </w:rPr>
        <w:lastRenderedPageBreak/>
        <w:t>The project's sustainability is supported by community ownership, traditional leader endorsement, and institutionalized participatory practices.</w:t>
      </w:r>
    </w:p>
    <w:p w14:paraId="35DE6F7E" w14:textId="227EFB9E" w:rsidR="002E025E" w:rsidRPr="00116D0B" w:rsidRDefault="002E025E" w:rsidP="002E025E">
      <w:pPr>
        <w:pStyle w:val="Heading2"/>
        <w:rPr>
          <w:rFonts w:eastAsia="Calibri"/>
          <w:szCs w:val="24"/>
        </w:rPr>
      </w:pPr>
      <w:bookmarkStart w:id="103" w:name="_Toc166775429"/>
      <w:r w:rsidRPr="00116D0B">
        <w:rPr>
          <w:rFonts w:eastAsia="Calibri"/>
          <w:szCs w:val="24"/>
        </w:rPr>
        <w:t>5.2</w:t>
      </w:r>
      <w:r w:rsidRPr="00116D0B">
        <w:rPr>
          <w:rFonts w:eastAsia="Calibri"/>
          <w:szCs w:val="24"/>
        </w:rPr>
        <w:tab/>
        <w:t>Recommendations</w:t>
      </w:r>
      <w:bookmarkEnd w:id="103"/>
    </w:p>
    <w:p w14:paraId="09C5ACC9" w14:textId="0E0E8EEB" w:rsidR="002E025E" w:rsidRPr="00116D0B" w:rsidRDefault="002E025E" w:rsidP="002E025E">
      <w:pPr>
        <w:widowControl/>
        <w:autoSpaceDE/>
        <w:autoSpaceDN/>
        <w:spacing w:before="240" w:after="240" w:line="276" w:lineRule="auto"/>
        <w:jc w:val="both"/>
        <w:rPr>
          <w:rFonts w:ascii="Garamond" w:eastAsia="Calibri" w:hAnsi="Garamond" w:cs="Times New Roman"/>
          <w:sz w:val="24"/>
          <w:szCs w:val="24"/>
        </w:rPr>
      </w:pPr>
      <w:r w:rsidRPr="00116D0B">
        <w:rPr>
          <w:rFonts w:ascii="Garamond" w:eastAsia="Calibri" w:hAnsi="Garamond" w:cs="Times New Roman"/>
          <w:sz w:val="24"/>
          <w:szCs w:val="24"/>
        </w:rPr>
        <w:t>Based on the findings of the evaluation, the following recommendations have been proposed to ensure the sustainability of the project outcome and guide future programming</w:t>
      </w:r>
    </w:p>
    <w:p w14:paraId="687FA13A" w14:textId="605FD2CF" w:rsidR="00116D0B" w:rsidRPr="00116D0B" w:rsidRDefault="005D0AF1"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Pr>
          <w:rFonts w:ascii="Garamond" w:eastAsia="Calibri" w:hAnsi="Garamond" w:cs="Times New Roman"/>
          <w:b/>
          <w:sz w:val="24"/>
          <w:szCs w:val="24"/>
        </w:rPr>
        <w:t>Comprehensive</w:t>
      </w:r>
      <w:r w:rsidRPr="00116D0B">
        <w:rPr>
          <w:rFonts w:ascii="Garamond" w:eastAsia="Calibri" w:hAnsi="Garamond" w:cs="Times New Roman"/>
          <w:b/>
          <w:sz w:val="24"/>
          <w:szCs w:val="24"/>
        </w:rPr>
        <w:t xml:space="preserve"> </w:t>
      </w:r>
      <w:r w:rsidR="002E025E" w:rsidRPr="00116D0B">
        <w:rPr>
          <w:rFonts w:ascii="Garamond" w:eastAsia="Calibri" w:hAnsi="Garamond" w:cs="Times New Roman"/>
          <w:b/>
          <w:sz w:val="24"/>
          <w:szCs w:val="24"/>
        </w:rPr>
        <w:t xml:space="preserve">Terrain Analysis for Effective Project Planning: </w:t>
      </w:r>
      <w:r w:rsidR="002E025E" w:rsidRPr="00116D0B">
        <w:rPr>
          <w:rFonts w:ascii="Garamond" w:eastAsia="Calibri" w:hAnsi="Garamond" w:cs="Times New Roman"/>
          <w:sz w:val="24"/>
          <w:szCs w:val="24"/>
        </w:rPr>
        <w:t>Prioritize conducting thorough terrain analysis and understanding the geographic challenges of the community before implementing future projects. This will enable better planning and resource allocation to navigate difficult terrains, ensuring smoother project implementation and accessibility to all target areas.</w:t>
      </w:r>
    </w:p>
    <w:p w14:paraId="76983997"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Cluster Meetings for Hard-to-Reach Communities: </w:t>
      </w:r>
      <w:r w:rsidRPr="00116D0B">
        <w:rPr>
          <w:rFonts w:ascii="Garamond" w:eastAsia="Calibri" w:hAnsi="Garamond" w:cs="Times New Roman"/>
          <w:sz w:val="24"/>
          <w:szCs w:val="24"/>
        </w:rPr>
        <w:t>Implement cluster meetings for hard-to-reach communities to improve accessibility and engagement. By grouping together communities facing similar geographic challenges, resources can be utilized more efficiently, enabling comprehensive outreach efforts and ensuring that no community is left behind in project activities.</w:t>
      </w:r>
    </w:p>
    <w:p w14:paraId="4189700D"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Knowledge Transfer Mechanism for Political Office Holders</w:t>
      </w:r>
      <w:r w:rsidR="00116D0B" w:rsidRPr="00116D0B">
        <w:rPr>
          <w:rFonts w:ascii="Garamond" w:eastAsia="Calibri" w:hAnsi="Garamond" w:cs="Times New Roman"/>
          <w:b/>
          <w:sz w:val="24"/>
          <w:szCs w:val="24"/>
        </w:rPr>
        <w:t xml:space="preserve">: </w:t>
      </w:r>
      <w:r w:rsidRPr="00116D0B">
        <w:rPr>
          <w:rFonts w:ascii="Garamond" w:eastAsia="Calibri" w:hAnsi="Garamond" w:cs="Times New Roman"/>
          <w:sz w:val="24"/>
          <w:szCs w:val="24"/>
        </w:rPr>
        <w:t>Establish a formal knowledge transfer mechanism between outgoing and incoming political office holders to ensure continuity and understanding of the project's objectives and processes. This could involve structured orientation sessions for new officials, facilitated by project staff and supported by outgoing leaders. By institutionalizing this practice, the project can safeguard against disruptions due to political transitions, ensuring sustained impact and community development.</w:t>
      </w:r>
    </w:p>
    <w:p w14:paraId="7D49BE40"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Skills Appraisal and Capacity Building for Local Government Officials: </w:t>
      </w:r>
      <w:r w:rsidRPr="00116D0B">
        <w:rPr>
          <w:rFonts w:ascii="Garamond" w:eastAsia="Calibri" w:hAnsi="Garamond" w:cs="Times New Roman"/>
          <w:sz w:val="24"/>
          <w:szCs w:val="24"/>
        </w:rPr>
        <w:t>Future programming should involve skills appraisal and gap analysis of local government officials to identify areas where capacity-building interventions are needed. This process will help in addressing the challenges posed by poor capacity among officials, particularly administrative staff, as highlighted in the project findings.</w:t>
      </w:r>
    </w:p>
    <w:p w14:paraId="0742F4DA"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 xml:space="preserve">Oversight Functions for Sustained Effectiveness of WDSCs: </w:t>
      </w:r>
      <w:r w:rsidRPr="00116D0B">
        <w:rPr>
          <w:rFonts w:ascii="Garamond" w:eastAsia="Calibri" w:hAnsi="Garamond" w:cs="Times New Roman"/>
          <w:sz w:val="24"/>
          <w:szCs w:val="24"/>
        </w:rPr>
        <w:t>Performing oversight functions beyond the project lifecycle on the activities of Ward WDSCs is crucial to ensure their sustained effectiveness and alignment with project objectives. This oversight involves continuous monitoring, evaluation, and support to keep the WDSCs on course even after the project's conclusion.</w:t>
      </w:r>
    </w:p>
    <w:p w14:paraId="46409FDA"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Community Engagement and Ownership:</w:t>
      </w:r>
      <w:r w:rsidRPr="00116D0B">
        <w:rPr>
          <w:rFonts w:ascii="Garamond" w:eastAsia="Calibri" w:hAnsi="Garamond" w:cs="Times New Roman"/>
          <w:sz w:val="24"/>
          <w:szCs w:val="24"/>
        </w:rPr>
        <w:t xml:space="preserve"> The evaluation recommends the need for continued prioritization of community engagement and ownership in future projects to ensure sustainability as empowering communities to take charge of their own development processes, fosters a sense of responsibility and accountability.</w:t>
      </w:r>
    </w:p>
    <w:p w14:paraId="4747F556" w14:textId="77777777" w:rsidR="00116D0B"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t>Institutionalization of Participatory Practices:</w:t>
      </w:r>
      <w:r w:rsidRPr="00116D0B">
        <w:rPr>
          <w:rFonts w:ascii="Garamond" w:eastAsia="Calibri" w:hAnsi="Garamond" w:cs="Times New Roman"/>
          <w:sz w:val="24"/>
          <w:szCs w:val="24"/>
        </w:rPr>
        <w:t xml:space="preserve"> The evaluation also reinforces the need for Institutionalizing mechanisms of participatory engagement and planning within local government structures, as embedding participatory practices into governance frameworks will ensure continuity and inclusivity in decision-making processes.</w:t>
      </w:r>
    </w:p>
    <w:p w14:paraId="2B4CB7DE" w14:textId="55D0D353" w:rsidR="002E025E" w:rsidRPr="00116D0B" w:rsidRDefault="002E025E" w:rsidP="00116D0B">
      <w:pPr>
        <w:pStyle w:val="ListParagraph"/>
        <w:widowControl/>
        <w:numPr>
          <w:ilvl w:val="0"/>
          <w:numId w:val="35"/>
        </w:numPr>
        <w:autoSpaceDE/>
        <w:autoSpaceDN/>
        <w:spacing w:after="160" w:line="259" w:lineRule="auto"/>
        <w:jc w:val="both"/>
        <w:rPr>
          <w:rFonts w:ascii="Garamond" w:eastAsia="Calibri" w:hAnsi="Garamond" w:cs="Times New Roman"/>
          <w:b/>
          <w:sz w:val="24"/>
          <w:szCs w:val="24"/>
        </w:rPr>
      </w:pPr>
      <w:r w:rsidRPr="00116D0B">
        <w:rPr>
          <w:rFonts w:ascii="Garamond" w:eastAsia="Calibri" w:hAnsi="Garamond" w:cs="Times New Roman"/>
          <w:b/>
          <w:sz w:val="24"/>
          <w:szCs w:val="24"/>
        </w:rPr>
        <w:lastRenderedPageBreak/>
        <w:t>Documentation and Knowledge Sharing:</w:t>
      </w:r>
      <w:r w:rsidRPr="00116D0B">
        <w:rPr>
          <w:rFonts w:ascii="Garamond" w:eastAsia="Calibri" w:hAnsi="Garamond" w:cs="Times New Roman"/>
          <w:sz w:val="24"/>
          <w:szCs w:val="24"/>
        </w:rPr>
        <w:t xml:space="preserve"> The evaluation also recommends the need for the documentation of best practices, lessons learned, and success stories from the project for knowledge sharing and replication in future initiatives, as it will foster a culture of learning and knowledge exchange among project stakeholders to promote continuous improvement.</w:t>
      </w:r>
    </w:p>
    <w:p w14:paraId="393697FD" w14:textId="77777777" w:rsidR="002E025E" w:rsidRPr="00116D0B" w:rsidRDefault="002E025E" w:rsidP="002E025E">
      <w:pPr>
        <w:widowControl/>
        <w:autoSpaceDE/>
        <w:autoSpaceDN/>
        <w:spacing w:before="240" w:after="240" w:line="276" w:lineRule="auto"/>
        <w:jc w:val="both"/>
        <w:rPr>
          <w:rFonts w:ascii="Garamond" w:eastAsia="Calibri" w:hAnsi="Garamond" w:cs="Times New Roman"/>
          <w:sz w:val="24"/>
          <w:szCs w:val="24"/>
        </w:rPr>
      </w:pPr>
    </w:p>
    <w:p w14:paraId="267303B3" w14:textId="77777777" w:rsidR="00942864" w:rsidRPr="00116D0B" w:rsidRDefault="00942864" w:rsidP="00942864">
      <w:pPr>
        <w:widowControl/>
        <w:autoSpaceDE/>
        <w:autoSpaceDN/>
        <w:spacing w:before="100" w:beforeAutospacing="1" w:after="100" w:afterAutospacing="1" w:line="276" w:lineRule="auto"/>
        <w:jc w:val="both"/>
        <w:rPr>
          <w:rFonts w:ascii="Garamond" w:eastAsia="Calibri" w:hAnsi="Garamond" w:cs="Times New Roman"/>
          <w:sz w:val="24"/>
          <w:szCs w:val="24"/>
        </w:rPr>
      </w:pPr>
    </w:p>
    <w:p w14:paraId="6141DCCE" w14:textId="4A6C127F" w:rsidR="00301CF3" w:rsidRPr="00116D0B" w:rsidRDefault="00301CF3" w:rsidP="007E6E80">
      <w:pPr>
        <w:tabs>
          <w:tab w:val="left" w:pos="1550"/>
        </w:tabs>
        <w:spacing w:before="240" w:after="240" w:line="276" w:lineRule="auto"/>
        <w:jc w:val="both"/>
        <w:rPr>
          <w:rFonts w:ascii="Garamond" w:hAnsi="Garamond"/>
          <w:sz w:val="24"/>
          <w:szCs w:val="24"/>
        </w:rPr>
      </w:pPr>
    </w:p>
    <w:sectPr w:rsidR="00301CF3" w:rsidRPr="00116D0B" w:rsidSect="008A4264">
      <w:pgSz w:w="12240" w:h="15840"/>
      <w:pgMar w:top="1440" w:right="122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00910" w14:textId="77777777" w:rsidR="00C421F2" w:rsidRDefault="00C421F2" w:rsidP="000C3AA4">
      <w:r>
        <w:separator/>
      </w:r>
    </w:p>
  </w:endnote>
  <w:endnote w:type="continuationSeparator" w:id="0">
    <w:p w14:paraId="00405D79" w14:textId="77777777" w:rsidR="00C421F2" w:rsidRDefault="00C421F2" w:rsidP="000C3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Robo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286674"/>
      <w:docPartObj>
        <w:docPartGallery w:val="Page Numbers (Bottom of Page)"/>
        <w:docPartUnique/>
      </w:docPartObj>
    </w:sdtPr>
    <w:sdtEndPr>
      <w:rPr>
        <w:color w:val="7F7F7F" w:themeColor="background1" w:themeShade="7F"/>
        <w:spacing w:val="60"/>
      </w:rPr>
    </w:sdtEndPr>
    <w:sdtContent>
      <w:p w14:paraId="2B70798A" w14:textId="7416D920" w:rsidR="00757A6C" w:rsidRDefault="00757A6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2126A" w:rsidRPr="0002126A">
          <w:rPr>
            <w:b/>
            <w:bCs/>
            <w:noProof/>
          </w:rPr>
          <w:t>20</w:t>
        </w:r>
        <w:r>
          <w:rPr>
            <w:b/>
            <w:bCs/>
            <w:noProof/>
          </w:rPr>
          <w:fldChar w:fldCharType="end"/>
        </w:r>
        <w:r>
          <w:rPr>
            <w:b/>
            <w:bCs/>
          </w:rPr>
          <w:t xml:space="preserve"> | </w:t>
        </w:r>
        <w:r>
          <w:rPr>
            <w:color w:val="7F7F7F" w:themeColor="background1" w:themeShade="7F"/>
            <w:spacing w:val="60"/>
          </w:rPr>
          <w:t>Page</w:t>
        </w:r>
      </w:p>
    </w:sdtContent>
  </w:sdt>
  <w:p w14:paraId="14F37F13" w14:textId="77777777" w:rsidR="00757A6C" w:rsidRDefault="00757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B1970" w14:textId="77777777" w:rsidR="00C421F2" w:rsidRDefault="00C421F2" w:rsidP="000C3AA4">
      <w:r>
        <w:separator/>
      </w:r>
    </w:p>
  </w:footnote>
  <w:footnote w:type="continuationSeparator" w:id="0">
    <w:p w14:paraId="25292564" w14:textId="77777777" w:rsidR="00C421F2" w:rsidRDefault="00C421F2" w:rsidP="000C3AA4">
      <w:r>
        <w:continuationSeparator/>
      </w:r>
    </w:p>
  </w:footnote>
  <w:footnote w:id="1">
    <w:p w14:paraId="0224FA25" w14:textId="77777777" w:rsidR="00757A6C" w:rsidRPr="00C3723C" w:rsidRDefault="00757A6C" w:rsidP="0073762A">
      <w:pPr>
        <w:pStyle w:val="FootnoteText"/>
        <w:rPr>
          <w:rFonts w:ascii="Garamond" w:eastAsiaTheme="minorHAnsi" w:hAnsi="Garamond" w:cs="Times New Roman"/>
          <w:sz w:val="18"/>
          <w:szCs w:val="18"/>
        </w:rPr>
      </w:pPr>
      <w:r w:rsidRPr="00C3723C">
        <w:rPr>
          <w:rStyle w:val="FootnoteReference"/>
          <w:rFonts w:ascii="Garamond" w:hAnsi="Garamond" w:cs="Times New Roman"/>
          <w:sz w:val="18"/>
          <w:szCs w:val="18"/>
        </w:rPr>
        <w:footnoteRef/>
      </w:r>
      <w:r w:rsidRPr="00C3723C">
        <w:rPr>
          <w:rFonts w:ascii="Garamond" w:hAnsi="Garamond" w:cs="Times New Roman"/>
          <w:sz w:val="18"/>
          <w:szCs w:val="18"/>
        </w:rPr>
        <w:t xml:space="preserve"> </w:t>
      </w:r>
      <w:hyperlink r:id="rId1" w:history="1">
        <w:r w:rsidRPr="00C3723C">
          <w:rPr>
            <w:rStyle w:val="Hyperlink"/>
            <w:rFonts w:ascii="Garamond" w:hAnsi="Garamond" w:cs="Times New Roman"/>
            <w:sz w:val="18"/>
            <w:szCs w:val="18"/>
          </w:rPr>
          <w:t>https://www.medium.com@ruthmba//the-plight-of-internally-displaced-persons-idps-and-the-need-for-reinterration-B7555c212f37</w:t>
        </w:r>
      </w:hyperlink>
    </w:p>
  </w:footnote>
  <w:footnote w:id="2">
    <w:p w14:paraId="5F9D1350" w14:textId="77777777" w:rsidR="00757A6C" w:rsidRPr="00C3723C" w:rsidRDefault="00757A6C" w:rsidP="0073762A">
      <w:pPr>
        <w:pStyle w:val="FootnoteText"/>
        <w:rPr>
          <w:rFonts w:ascii="Garamond" w:hAnsi="Garamond"/>
          <w:sz w:val="18"/>
          <w:szCs w:val="18"/>
        </w:rPr>
      </w:pPr>
      <w:r w:rsidRPr="00C3723C">
        <w:rPr>
          <w:rStyle w:val="FootnoteReference"/>
          <w:rFonts w:ascii="Garamond" w:hAnsi="Garamond"/>
          <w:sz w:val="18"/>
          <w:szCs w:val="18"/>
        </w:rPr>
        <w:footnoteRef/>
      </w:r>
      <w:r w:rsidRPr="00C3723C">
        <w:rPr>
          <w:rFonts w:ascii="Garamond" w:hAnsi="Garamond"/>
          <w:sz w:val="18"/>
          <w:szCs w:val="18"/>
        </w:rPr>
        <w:t xml:space="preserve"> </w:t>
      </w:r>
      <w:bookmarkStart w:id="13" w:name="_bookmark3"/>
      <w:bookmarkEnd w:id="13"/>
      <w:r w:rsidRPr="00C3723C">
        <w:rPr>
          <w:rFonts w:ascii="Garamond" w:hAnsi="Garamond"/>
          <w:sz w:val="18"/>
          <w:szCs w:val="18"/>
        </w:rPr>
        <w:t xml:space="preserve">Gideon Nginyu, Giyoh. (2023). the Challenges and Adaptation Strategies of IDPs in Kumba Town, Cameroon. Studies in Social Science &amp; Humanities. Retrieved from </w:t>
      </w:r>
      <w:hyperlink r:id="rId2">
        <w:r w:rsidRPr="00C3723C">
          <w:rPr>
            <w:rStyle w:val="Hyperlink"/>
            <w:rFonts w:ascii="Garamond" w:hAnsi="Garamond"/>
            <w:sz w:val="18"/>
            <w:szCs w:val="18"/>
          </w:rPr>
          <w:t>https://www.paradigmpress.org/SSSH/article/download/940/814/1088</w:t>
        </w:r>
      </w:hyperlink>
    </w:p>
    <w:p w14:paraId="27FAD4E9" w14:textId="77777777" w:rsidR="00757A6C" w:rsidRDefault="00757A6C" w:rsidP="0073762A">
      <w:pPr>
        <w:pStyle w:val="FootnoteText"/>
      </w:pPr>
    </w:p>
  </w:footnote>
  <w:footnote w:id="3">
    <w:p w14:paraId="5CC6A7E3" w14:textId="42835BC3" w:rsidR="00757A6C" w:rsidRPr="00C3723C" w:rsidRDefault="00757A6C" w:rsidP="003D73E5">
      <w:pPr>
        <w:pStyle w:val="FootnoteText"/>
        <w:jc w:val="both"/>
        <w:rPr>
          <w:rFonts w:ascii="Garamond" w:hAnsi="Garamond"/>
          <w:sz w:val="18"/>
          <w:szCs w:val="18"/>
          <w:u w:val="single"/>
        </w:rPr>
      </w:pPr>
      <w:r w:rsidRPr="00C3723C">
        <w:rPr>
          <w:rStyle w:val="FootnoteReference"/>
          <w:rFonts w:ascii="Garamond" w:hAnsi="Garamond"/>
          <w:sz w:val="18"/>
          <w:szCs w:val="18"/>
        </w:rPr>
        <w:footnoteRef/>
      </w:r>
      <w:r w:rsidRPr="00C3723C">
        <w:rPr>
          <w:rFonts w:ascii="Garamond" w:hAnsi="Garamond"/>
          <w:sz w:val="18"/>
          <w:szCs w:val="18"/>
        </w:rPr>
        <w:t xml:space="preserve"> </w:t>
      </w:r>
      <w:bookmarkStart w:id="14" w:name="_bookmark5"/>
      <w:bookmarkEnd w:id="14"/>
      <w:r w:rsidRPr="00C3723C">
        <w:rPr>
          <w:rFonts w:ascii="Garamond" w:hAnsi="Garamond"/>
          <w:sz w:val="18"/>
          <w:szCs w:val="18"/>
        </w:rPr>
        <w:t>United Nations (n.d). Summary of Key Trends from Consultations with IDPs and Host Communities. UN</w:t>
      </w:r>
      <w:r w:rsidRPr="00C3723C">
        <w:rPr>
          <w:rFonts w:ascii="Garamond" w:hAnsi="Garamond"/>
          <w:sz w:val="18"/>
          <w:szCs w:val="18"/>
        </w:rPr>
        <w:tab/>
        <w:t>Secretary</w:t>
      </w:r>
      <w:r w:rsidRPr="00C3723C">
        <w:rPr>
          <w:rFonts w:ascii="Garamond" w:hAnsi="Garamond"/>
          <w:sz w:val="18"/>
          <w:szCs w:val="18"/>
        </w:rPr>
        <w:tab/>
        <w:t>General’s</w:t>
      </w:r>
      <w:r w:rsidRPr="00C3723C">
        <w:rPr>
          <w:rFonts w:ascii="Garamond" w:hAnsi="Garamond"/>
          <w:sz w:val="18"/>
          <w:szCs w:val="18"/>
        </w:rPr>
        <w:tab/>
        <w:t>High</w:t>
      </w:r>
      <w:r w:rsidRPr="00C3723C">
        <w:rPr>
          <w:rFonts w:ascii="Garamond" w:hAnsi="Garamond"/>
          <w:sz w:val="18"/>
          <w:szCs w:val="18"/>
        </w:rPr>
        <w:tab/>
        <w:t>Level Panel</w:t>
      </w:r>
      <w:r w:rsidRPr="00C3723C">
        <w:rPr>
          <w:rFonts w:ascii="Garamond" w:hAnsi="Garamond"/>
          <w:sz w:val="18"/>
          <w:szCs w:val="18"/>
        </w:rPr>
        <w:tab/>
        <w:t>on</w:t>
      </w:r>
      <w:r w:rsidRPr="00C3723C">
        <w:rPr>
          <w:rFonts w:ascii="Garamond" w:hAnsi="Garamond"/>
          <w:sz w:val="18"/>
          <w:szCs w:val="18"/>
        </w:rPr>
        <w:tab/>
        <w:t>Internal</w:t>
      </w:r>
      <w:r w:rsidRPr="00C3723C">
        <w:rPr>
          <w:rFonts w:ascii="Garamond" w:hAnsi="Garamond"/>
          <w:sz w:val="18"/>
          <w:szCs w:val="18"/>
        </w:rPr>
        <w:tab/>
        <w:t>Displacement.</w:t>
      </w:r>
      <w:r w:rsidRPr="00C3723C">
        <w:rPr>
          <w:rFonts w:ascii="Garamond" w:hAnsi="Garamond"/>
          <w:sz w:val="18"/>
          <w:szCs w:val="18"/>
        </w:rPr>
        <w:tab/>
        <w:t>Retrieved</w:t>
      </w:r>
      <w:r w:rsidRPr="00C3723C">
        <w:rPr>
          <w:rFonts w:ascii="Garamond" w:hAnsi="Garamond"/>
          <w:sz w:val="18"/>
          <w:szCs w:val="18"/>
        </w:rPr>
        <w:tab/>
        <w:t xml:space="preserve">from </w:t>
      </w:r>
      <w:hyperlink r:id="rId3" w:history="1">
        <w:r w:rsidRPr="00C3723C">
          <w:rPr>
            <w:rStyle w:val="Hyperlink"/>
            <w:rFonts w:ascii="Garamond" w:hAnsi="Garamond"/>
            <w:sz w:val="18"/>
            <w:szCs w:val="18"/>
          </w:rPr>
          <w:t>https://www.un.org/internal-displacement-panel/sites/www.un.org.internal-displacement panel/files/idp_consultation_external_summary.pdf</w:t>
        </w:r>
      </w:hyperlink>
    </w:p>
  </w:footnote>
  <w:footnote w:id="4">
    <w:p w14:paraId="4C23A6FA" w14:textId="77777777" w:rsidR="00757A6C" w:rsidRPr="00C3723C" w:rsidRDefault="00757A6C" w:rsidP="0073762A">
      <w:pPr>
        <w:pStyle w:val="FootnoteText"/>
        <w:rPr>
          <w:rFonts w:ascii="Garamond" w:hAnsi="Garamond"/>
          <w:sz w:val="16"/>
          <w:szCs w:val="16"/>
        </w:rPr>
      </w:pPr>
      <w:r w:rsidRPr="00C3723C">
        <w:rPr>
          <w:rStyle w:val="FootnoteReference"/>
          <w:rFonts w:ascii="Garamond" w:hAnsi="Garamond"/>
          <w:sz w:val="18"/>
          <w:szCs w:val="18"/>
        </w:rPr>
        <w:footnoteRef/>
      </w:r>
      <w:r w:rsidRPr="00C3723C">
        <w:rPr>
          <w:rFonts w:ascii="Garamond" w:hAnsi="Garamond"/>
          <w:b/>
          <w:bCs/>
          <w:sz w:val="18"/>
          <w:szCs w:val="18"/>
        </w:rPr>
        <w:t>Presidential Committee on North-East Initiative.</w:t>
      </w:r>
      <w:r w:rsidRPr="00C3723C">
        <w:rPr>
          <w:rFonts w:ascii="Garamond" w:hAnsi="Garamond"/>
          <w:sz w:val="18"/>
          <w:szCs w:val="18"/>
        </w:rPr>
        <w:t> (n.d.). [Presidential Committee on North-East Initiative]. The Statehouse, Abuja. </w:t>
      </w:r>
      <w:hyperlink r:id="rId4" w:tgtFrame="_blank" w:history="1">
        <w:r w:rsidRPr="00C3723C">
          <w:rPr>
            <w:rStyle w:val="Hyperlink"/>
            <w:rFonts w:ascii="Garamond" w:hAnsi="Garamond"/>
            <w:sz w:val="18"/>
            <w:szCs w:val="18"/>
          </w:rPr>
          <w:t>https://statehouse.gov.ng/policy/councils-committees/presidential-committee-on-north-east-initiative/</w:t>
        </w:r>
      </w:hyperlink>
    </w:p>
    <w:p w14:paraId="0EC993CC" w14:textId="77777777" w:rsidR="00757A6C" w:rsidRPr="003D73E5" w:rsidRDefault="00757A6C" w:rsidP="0073762A">
      <w:pPr>
        <w:pStyle w:val="FootnoteText"/>
        <w:rPr>
          <w:rFonts w:ascii="Garamond" w:hAnsi="Garamond"/>
          <w:sz w:val="18"/>
        </w:rPr>
      </w:pPr>
      <w:r w:rsidRPr="003D73E5">
        <w:rPr>
          <w:rFonts w:ascii="Garamond" w:hAnsi="Garamond"/>
          <w:sz w:val="18"/>
        </w:rPr>
        <w:t xml:space="preserve"> </w:t>
      </w:r>
    </w:p>
  </w:footnote>
  <w:footnote w:id="5">
    <w:p w14:paraId="4A186F83" w14:textId="1521511B" w:rsidR="00757A6C" w:rsidRDefault="00757A6C" w:rsidP="00757A6C">
      <w:pPr>
        <w:pStyle w:val="FootnoteText"/>
        <w:jc w:val="both"/>
      </w:pPr>
      <w:r>
        <w:rPr>
          <w:rStyle w:val="FootnoteReference"/>
        </w:rPr>
        <w:footnoteRef/>
      </w:r>
      <w:r>
        <w:t xml:space="preserve"> </w:t>
      </w:r>
      <w:r w:rsidRPr="00757A6C">
        <w:rPr>
          <w:rFonts w:ascii="Garamond" w:hAnsi="Garamond"/>
        </w:rPr>
        <w:t>Jerry, Samuel &amp; Mshelia, Alfred &amp; Guli, Njamba. (2018). Community Participation in The Provision and Maintenance of Self –Help Projects in Michika Local Government Area Adamawa State, Nigeria. International Journal for Innovation Education and Research. 6. 26-32. 10.31686/ijier.Vol6.Iss7.1087.</w:t>
      </w:r>
    </w:p>
  </w:footnote>
  <w:footnote w:id="6">
    <w:p w14:paraId="5AC657DE" w14:textId="626C7E72" w:rsidR="002F4ACA" w:rsidRPr="002F4ACA" w:rsidRDefault="002F4ACA">
      <w:pPr>
        <w:pStyle w:val="FootnoteText"/>
        <w:rPr>
          <w:rFonts w:ascii="Garamond" w:hAnsi="Garamond"/>
        </w:rPr>
      </w:pPr>
      <w:r>
        <w:rPr>
          <w:rStyle w:val="FootnoteReference"/>
        </w:rPr>
        <w:footnoteRef/>
      </w:r>
      <w:r>
        <w:t xml:space="preserve"> </w:t>
      </w:r>
      <w:hyperlink r:id="rId5" w:history="1">
        <w:r w:rsidRPr="002F4ACA">
          <w:rPr>
            <w:rStyle w:val="Hyperlink"/>
            <w:rFonts w:ascii="Garamond" w:hAnsi="Garamond"/>
          </w:rPr>
          <w:t>statesbudgettransparencysurvey-ng.com/wp-content/uploads/2019/11/Adamawa-State-1.pdf</w:t>
        </w:r>
      </w:hyperlink>
    </w:p>
  </w:footnote>
  <w:footnote w:id="7">
    <w:p w14:paraId="3A294E48" w14:textId="4CDC23FF" w:rsidR="00E16C0B" w:rsidRDefault="00E16C0B">
      <w:pPr>
        <w:pStyle w:val="FootnoteText"/>
      </w:pPr>
      <w:r>
        <w:rPr>
          <w:rStyle w:val="FootnoteReference"/>
        </w:rPr>
        <w:footnoteRef/>
      </w:r>
      <w:r>
        <w:t xml:space="preserve"> </w:t>
      </w:r>
      <w:hyperlink r:id="rId6">
        <w:r w:rsidRPr="00E16C0B">
          <w:rPr>
            <w:rStyle w:val="Hyperlink"/>
            <w:rFonts w:ascii="Garamond" w:hAnsi="Garamond"/>
            <w:lang w:val="en-GB"/>
          </w:rPr>
          <w:t>2022-CITIZEN-ENGAGEMENT-INPUTS-REPORT.pdf</w:t>
        </w:r>
      </w:hyperlink>
    </w:p>
  </w:footnote>
  <w:footnote w:id="8">
    <w:p w14:paraId="6637BDD1" w14:textId="77777777" w:rsidR="00757A6C" w:rsidRPr="0050486D" w:rsidRDefault="00757A6C" w:rsidP="0073762A">
      <w:pPr>
        <w:pStyle w:val="FootnoteText"/>
        <w:rPr>
          <w:rFonts w:ascii="Garamond" w:hAnsi="Garamond"/>
          <w:sz w:val="16"/>
          <w:szCs w:val="16"/>
        </w:rPr>
      </w:pPr>
      <w:r w:rsidRPr="0050486D">
        <w:rPr>
          <w:rStyle w:val="FootnoteReference"/>
          <w:rFonts w:ascii="Garamond" w:hAnsi="Garamond"/>
          <w:sz w:val="16"/>
          <w:szCs w:val="16"/>
        </w:rPr>
        <w:footnoteRef/>
      </w:r>
      <w:r w:rsidRPr="0050486D">
        <w:rPr>
          <w:rFonts w:ascii="Garamond" w:hAnsi="Garamond"/>
          <w:sz w:val="16"/>
          <w:szCs w:val="16"/>
        </w:rPr>
        <w:t xml:space="preserve"> Médecins Sans Frontières (MSF). (n.d.). Lake Chad Crisis in depth. </w:t>
      </w:r>
      <w:hyperlink r:id="rId7" w:tgtFrame="_blank" w:history="1">
        <w:r w:rsidRPr="0050486D">
          <w:rPr>
            <w:rStyle w:val="Hyperlink"/>
            <w:rFonts w:ascii="Garamond" w:hAnsi="Garamond"/>
            <w:sz w:val="16"/>
            <w:szCs w:val="16"/>
          </w:rPr>
          <w:t>https://www.msf.org/lake-chad-crisis</w:t>
        </w:r>
      </w:hyperlink>
    </w:p>
  </w:footnote>
  <w:footnote w:id="9">
    <w:p w14:paraId="199BFBEF" w14:textId="6ACC9CF2" w:rsidR="00757A6C" w:rsidRPr="003A1DC2" w:rsidRDefault="00757A6C" w:rsidP="003A1DC2">
      <w:pPr>
        <w:pStyle w:val="FootnoteText"/>
        <w:jc w:val="both"/>
        <w:rPr>
          <w:rFonts w:ascii="Garamond" w:hAnsi="Garamond"/>
          <w:sz w:val="18"/>
          <w:szCs w:val="18"/>
        </w:rPr>
      </w:pPr>
      <w:r w:rsidRPr="003A1DC2">
        <w:rPr>
          <w:rStyle w:val="FootnoteReference"/>
          <w:rFonts w:ascii="Garamond" w:hAnsi="Garamond"/>
          <w:sz w:val="18"/>
          <w:szCs w:val="18"/>
        </w:rPr>
        <w:footnoteRef/>
      </w:r>
      <w:r w:rsidRPr="003A1DC2">
        <w:rPr>
          <w:rFonts w:ascii="Garamond" w:hAnsi="Garamond"/>
          <w:sz w:val="18"/>
          <w:szCs w:val="18"/>
        </w:rPr>
        <w:t xml:space="preserve"> It is imperative to note that this data was collected across three wards (Garta/Ghunchi, Munkavicita, and Sina/Kamale/Kwande) from a total of 130 respondents. This limitation arose due to the omission of the question at the beginning of the data collection process.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EC4"/>
    <w:multiLevelType w:val="hybridMultilevel"/>
    <w:tmpl w:val="F9108B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57024"/>
    <w:multiLevelType w:val="hybridMultilevel"/>
    <w:tmpl w:val="CFB007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D43C8"/>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D61F8"/>
    <w:multiLevelType w:val="hybridMultilevel"/>
    <w:tmpl w:val="4558B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22046"/>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32C8A"/>
    <w:multiLevelType w:val="hybridMultilevel"/>
    <w:tmpl w:val="B0B0D9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723E6D"/>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11237"/>
    <w:multiLevelType w:val="hybridMultilevel"/>
    <w:tmpl w:val="1D3ABA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41A30"/>
    <w:multiLevelType w:val="multilevel"/>
    <w:tmpl w:val="59A6891A"/>
    <w:lvl w:ilvl="0">
      <w:start w:val="2"/>
      <w:numFmt w:val="decimal"/>
      <w:lvlText w:val="%1"/>
      <w:lvlJc w:val="left"/>
      <w:pPr>
        <w:ind w:left="678" w:hanging="459"/>
      </w:pPr>
      <w:rPr>
        <w:rFonts w:hint="default"/>
        <w:lang w:val="en-US" w:eastAsia="en-US" w:bidi="ar-SA"/>
      </w:rPr>
    </w:lvl>
    <w:lvl w:ilvl="1">
      <w:numFmt w:val="decimal"/>
      <w:lvlText w:val="%1.%2"/>
      <w:lvlJc w:val="left"/>
      <w:pPr>
        <w:ind w:left="678" w:hanging="459"/>
      </w:pPr>
      <w:rPr>
        <w:rFonts w:ascii="Georgia" w:eastAsia="Georgia" w:hAnsi="Georgia" w:cs="Georgia" w:hint="default"/>
        <w:b/>
        <w:bCs/>
        <w:color w:val="92D050"/>
        <w:w w:val="100"/>
        <w:sz w:val="24"/>
        <w:szCs w:val="24"/>
        <w:lang w:val="en-US" w:eastAsia="en-US" w:bidi="ar-SA"/>
      </w:rPr>
    </w:lvl>
    <w:lvl w:ilvl="2">
      <w:numFmt w:val="bullet"/>
      <w:lvlText w:val=""/>
      <w:lvlJc w:val="left"/>
      <w:pPr>
        <w:ind w:left="940" w:hanging="360"/>
      </w:pPr>
      <w:rPr>
        <w:rFonts w:ascii="Symbol" w:eastAsia="Symbol" w:hAnsi="Symbol" w:cs="Symbol" w:hint="default"/>
        <w:w w:val="100"/>
        <w:sz w:val="24"/>
        <w:szCs w:val="24"/>
        <w:lang w:val="en-US" w:eastAsia="en-US" w:bidi="ar-SA"/>
      </w:rPr>
    </w:lvl>
    <w:lvl w:ilvl="3">
      <w:numFmt w:val="bullet"/>
      <w:lvlText w:val="•"/>
      <w:lvlJc w:val="left"/>
      <w:pPr>
        <w:ind w:left="2908" w:hanging="360"/>
      </w:pPr>
      <w:rPr>
        <w:rFonts w:hint="default"/>
        <w:lang w:val="en-US" w:eastAsia="en-US" w:bidi="ar-SA"/>
      </w:rPr>
    </w:lvl>
    <w:lvl w:ilvl="4">
      <w:numFmt w:val="bullet"/>
      <w:lvlText w:val="•"/>
      <w:lvlJc w:val="left"/>
      <w:pPr>
        <w:ind w:left="3893" w:hanging="360"/>
      </w:pPr>
      <w:rPr>
        <w:rFonts w:hint="default"/>
        <w:lang w:val="en-US" w:eastAsia="en-US" w:bidi="ar-SA"/>
      </w:rPr>
    </w:lvl>
    <w:lvl w:ilvl="5">
      <w:numFmt w:val="bullet"/>
      <w:lvlText w:val="•"/>
      <w:lvlJc w:val="left"/>
      <w:pPr>
        <w:ind w:left="4877" w:hanging="360"/>
      </w:pPr>
      <w:rPr>
        <w:rFonts w:hint="default"/>
        <w:lang w:val="en-US" w:eastAsia="en-US" w:bidi="ar-SA"/>
      </w:rPr>
    </w:lvl>
    <w:lvl w:ilvl="6">
      <w:numFmt w:val="bullet"/>
      <w:lvlText w:val="•"/>
      <w:lvlJc w:val="left"/>
      <w:pPr>
        <w:ind w:left="5862" w:hanging="360"/>
      </w:pPr>
      <w:rPr>
        <w:rFonts w:hint="default"/>
        <w:lang w:val="en-US" w:eastAsia="en-US" w:bidi="ar-SA"/>
      </w:rPr>
    </w:lvl>
    <w:lvl w:ilvl="7">
      <w:numFmt w:val="bullet"/>
      <w:lvlText w:val="•"/>
      <w:lvlJc w:val="left"/>
      <w:pPr>
        <w:ind w:left="6846" w:hanging="360"/>
      </w:pPr>
      <w:rPr>
        <w:rFonts w:hint="default"/>
        <w:lang w:val="en-US" w:eastAsia="en-US" w:bidi="ar-SA"/>
      </w:rPr>
    </w:lvl>
    <w:lvl w:ilvl="8">
      <w:numFmt w:val="bullet"/>
      <w:lvlText w:val="•"/>
      <w:lvlJc w:val="left"/>
      <w:pPr>
        <w:ind w:left="7831" w:hanging="360"/>
      </w:pPr>
      <w:rPr>
        <w:rFonts w:hint="default"/>
        <w:lang w:val="en-US" w:eastAsia="en-US" w:bidi="ar-SA"/>
      </w:rPr>
    </w:lvl>
  </w:abstractNum>
  <w:abstractNum w:abstractNumId="9" w15:restartNumberingAfterBreak="0">
    <w:nsid w:val="2A6B7461"/>
    <w:multiLevelType w:val="multilevel"/>
    <w:tmpl w:val="2A6B746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9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A9148D9"/>
    <w:multiLevelType w:val="hybridMultilevel"/>
    <w:tmpl w:val="EEDA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F60BD"/>
    <w:multiLevelType w:val="multilevel"/>
    <w:tmpl w:val="08C8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A75D3"/>
    <w:multiLevelType w:val="hybridMultilevel"/>
    <w:tmpl w:val="CC06BED4"/>
    <w:lvl w:ilvl="0" w:tplc="04090001">
      <w:start w:val="1"/>
      <w:numFmt w:val="bullet"/>
      <w:lvlText w:val=""/>
      <w:lvlJc w:val="left"/>
      <w:pPr>
        <w:ind w:left="354" w:hanging="255"/>
      </w:pPr>
      <w:rPr>
        <w:rFonts w:ascii="Symbol" w:hAnsi="Symbol" w:hint="default"/>
        <w:spacing w:val="-1"/>
        <w:w w:val="85"/>
        <w:sz w:val="24"/>
        <w:szCs w:val="24"/>
        <w:lang w:val="en-US" w:eastAsia="en-US" w:bidi="ar-SA"/>
      </w:rPr>
    </w:lvl>
    <w:lvl w:ilvl="1" w:tplc="F2A69016">
      <w:numFmt w:val="bullet"/>
      <w:lvlText w:val="•"/>
      <w:lvlJc w:val="left"/>
      <w:pPr>
        <w:ind w:left="1342" w:hanging="255"/>
      </w:pPr>
      <w:rPr>
        <w:rFonts w:hint="default"/>
        <w:lang w:val="en-US" w:eastAsia="en-US" w:bidi="ar-SA"/>
      </w:rPr>
    </w:lvl>
    <w:lvl w:ilvl="2" w:tplc="0BC0372A">
      <w:numFmt w:val="bullet"/>
      <w:lvlText w:val="•"/>
      <w:lvlJc w:val="left"/>
      <w:pPr>
        <w:ind w:left="2324" w:hanging="255"/>
      </w:pPr>
      <w:rPr>
        <w:rFonts w:hint="default"/>
        <w:lang w:val="en-US" w:eastAsia="en-US" w:bidi="ar-SA"/>
      </w:rPr>
    </w:lvl>
    <w:lvl w:ilvl="3" w:tplc="D564F73E">
      <w:numFmt w:val="bullet"/>
      <w:lvlText w:val="•"/>
      <w:lvlJc w:val="left"/>
      <w:pPr>
        <w:ind w:left="3306" w:hanging="255"/>
      </w:pPr>
      <w:rPr>
        <w:rFonts w:hint="default"/>
        <w:lang w:val="en-US" w:eastAsia="en-US" w:bidi="ar-SA"/>
      </w:rPr>
    </w:lvl>
    <w:lvl w:ilvl="4" w:tplc="A8EE326C">
      <w:numFmt w:val="bullet"/>
      <w:lvlText w:val="•"/>
      <w:lvlJc w:val="left"/>
      <w:pPr>
        <w:ind w:left="4288" w:hanging="255"/>
      </w:pPr>
      <w:rPr>
        <w:rFonts w:hint="default"/>
        <w:lang w:val="en-US" w:eastAsia="en-US" w:bidi="ar-SA"/>
      </w:rPr>
    </w:lvl>
    <w:lvl w:ilvl="5" w:tplc="CCCA0478">
      <w:numFmt w:val="bullet"/>
      <w:lvlText w:val="•"/>
      <w:lvlJc w:val="left"/>
      <w:pPr>
        <w:ind w:left="5270" w:hanging="255"/>
      </w:pPr>
      <w:rPr>
        <w:rFonts w:hint="default"/>
        <w:lang w:val="en-US" w:eastAsia="en-US" w:bidi="ar-SA"/>
      </w:rPr>
    </w:lvl>
    <w:lvl w:ilvl="6" w:tplc="E7703672">
      <w:numFmt w:val="bullet"/>
      <w:lvlText w:val="•"/>
      <w:lvlJc w:val="left"/>
      <w:pPr>
        <w:ind w:left="6252" w:hanging="255"/>
      </w:pPr>
      <w:rPr>
        <w:rFonts w:hint="default"/>
        <w:lang w:val="en-US" w:eastAsia="en-US" w:bidi="ar-SA"/>
      </w:rPr>
    </w:lvl>
    <w:lvl w:ilvl="7" w:tplc="240AD6C8">
      <w:numFmt w:val="bullet"/>
      <w:lvlText w:val="•"/>
      <w:lvlJc w:val="left"/>
      <w:pPr>
        <w:ind w:left="7234" w:hanging="255"/>
      </w:pPr>
      <w:rPr>
        <w:rFonts w:hint="default"/>
        <w:lang w:val="en-US" w:eastAsia="en-US" w:bidi="ar-SA"/>
      </w:rPr>
    </w:lvl>
    <w:lvl w:ilvl="8" w:tplc="57444920">
      <w:numFmt w:val="bullet"/>
      <w:lvlText w:val="•"/>
      <w:lvlJc w:val="left"/>
      <w:pPr>
        <w:ind w:left="8216" w:hanging="255"/>
      </w:pPr>
      <w:rPr>
        <w:rFonts w:hint="default"/>
        <w:lang w:val="en-US" w:eastAsia="en-US" w:bidi="ar-SA"/>
      </w:rPr>
    </w:lvl>
  </w:abstractNum>
  <w:abstractNum w:abstractNumId="13" w15:restartNumberingAfterBreak="0">
    <w:nsid w:val="33810E86"/>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081938"/>
    <w:multiLevelType w:val="hybridMultilevel"/>
    <w:tmpl w:val="2A5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0977A0"/>
    <w:multiLevelType w:val="multilevel"/>
    <w:tmpl w:val="11B21D80"/>
    <w:lvl w:ilvl="0">
      <w:start w:val="3"/>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8A304EC"/>
    <w:multiLevelType w:val="hybridMultilevel"/>
    <w:tmpl w:val="FCF4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6529B"/>
    <w:multiLevelType w:val="hybridMultilevel"/>
    <w:tmpl w:val="792C288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5B3F7B"/>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0A0971"/>
    <w:multiLevelType w:val="hybridMultilevel"/>
    <w:tmpl w:val="B984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23EF9"/>
    <w:multiLevelType w:val="hybridMultilevel"/>
    <w:tmpl w:val="35C06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74087"/>
    <w:multiLevelType w:val="hybridMultilevel"/>
    <w:tmpl w:val="6CCEB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45007"/>
    <w:multiLevelType w:val="hybridMultilevel"/>
    <w:tmpl w:val="BD8E7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F7D39"/>
    <w:multiLevelType w:val="multilevel"/>
    <w:tmpl w:val="ACD4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834352"/>
    <w:multiLevelType w:val="hybridMultilevel"/>
    <w:tmpl w:val="B7EE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0C3E23"/>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9825BC"/>
    <w:multiLevelType w:val="hybridMultilevel"/>
    <w:tmpl w:val="D342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97D81"/>
    <w:multiLevelType w:val="multilevel"/>
    <w:tmpl w:val="13F865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03069"/>
    <w:multiLevelType w:val="hybridMultilevel"/>
    <w:tmpl w:val="F112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E166B0"/>
    <w:multiLevelType w:val="hybridMultilevel"/>
    <w:tmpl w:val="52363C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47117"/>
    <w:multiLevelType w:val="hybridMultilevel"/>
    <w:tmpl w:val="9716B34A"/>
    <w:lvl w:ilvl="0" w:tplc="0809000F">
      <w:start w:val="1"/>
      <w:numFmt w:val="decimal"/>
      <w:lvlText w:val="%1."/>
      <w:lvlJc w:val="left"/>
      <w:pPr>
        <w:ind w:left="720" w:hanging="360"/>
      </w:pPr>
      <w:rPr>
        <w:rFonts w:hint="default"/>
      </w:rPr>
    </w:lvl>
    <w:lvl w:ilvl="1" w:tplc="C4545B1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732062"/>
    <w:multiLevelType w:val="hybridMultilevel"/>
    <w:tmpl w:val="2E62C9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C58F6"/>
    <w:multiLevelType w:val="multilevel"/>
    <w:tmpl w:val="82E06C10"/>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90A3AB3"/>
    <w:multiLevelType w:val="hybridMultilevel"/>
    <w:tmpl w:val="609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30AC7"/>
    <w:multiLevelType w:val="hybridMultilevel"/>
    <w:tmpl w:val="5904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E35458"/>
    <w:multiLevelType w:val="hybridMultilevel"/>
    <w:tmpl w:val="E2B26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C51E23"/>
    <w:multiLevelType w:val="hybridMultilevel"/>
    <w:tmpl w:val="C72210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3733493">
    <w:abstractNumId w:val="8"/>
  </w:num>
  <w:num w:numId="2" w16cid:durableId="656878188">
    <w:abstractNumId w:val="9"/>
  </w:num>
  <w:num w:numId="3" w16cid:durableId="1076442421">
    <w:abstractNumId w:val="1"/>
  </w:num>
  <w:num w:numId="4" w16cid:durableId="632100422">
    <w:abstractNumId w:val="31"/>
  </w:num>
  <w:num w:numId="5" w16cid:durableId="858734424">
    <w:abstractNumId w:val="0"/>
  </w:num>
  <w:num w:numId="6" w16cid:durableId="1660502150">
    <w:abstractNumId w:val="7"/>
  </w:num>
  <w:num w:numId="7" w16cid:durableId="411394220">
    <w:abstractNumId w:val="12"/>
  </w:num>
  <w:num w:numId="8" w16cid:durableId="575211618">
    <w:abstractNumId w:val="29"/>
  </w:num>
  <w:num w:numId="9" w16cid:durableId="1339849795">
    <w:abstractNumId w:val="35"/>
  </w:num>
  <w:num w:numId="10" w16cid:durableId="852575537">
    <w:abstractNumId w:val="3"/>
  </w:num>
  <w:num w:numId="11" w16cid:durableId="464813996">
    <w:abstractNumId w:val="15"/>
  </w:num>
  <w:num w:numId="12" w16cid:durableId="175198316">
    <w:abstractNumId w:val="11"/>
  </w:num>
  <w:num w:numId="13" w16cid:durableId="1100754933">
    <w:abstractNumId w:val="23"/>
  </w:num>
  <w:num w:numId="14" w16cid:durableId="177811253">
    <w:abstractNumId w:val="2"/>
  </w:num>
  <w:num w:numId="15" w16cid:durableId="2061901763">
    <w:abstractNumId w:val="18"/>
  </w:num>
  <w:num w:numId="16" w16cid:durableId="417483120">
    <w:abstractNumId w:val="25"/>
  </w:num>
  <w:num w:numId="17" w16cid:durableId="1612737833">
    <w:abstractNumId w:val="13"/>
  </w:num>
  <w:num w:numId="18" w16cid:durableId="1393964785">
    <w:abstractNumId w:val="4"/>
  </w:num>
  <w:num w:numId="19" w16cid:durableId="307050239">
    <w:abstractNumId w:val="27"/>
  </w:num>
  <w:num w:numId="20" w16cid:durableId="876890459">
    <w:abstractNumId w:val="6"/>
  </w:num>
  <w:num w:numId="21" w16cid:durableId="1381124257">
    <w:abstractNumId w:val="30"/>
  </w:num>
  <w:num w:numId="22" w16cid:durableId="1209343892">
    <w:abstractNumId w:val="17"/>
  </w:num>
  <w:num w:numId="23" w16cid:durableId="1950551325">
    <w:abstractNumId w:val="36"/>
  </w:num>
  <w:num w:numId="24" w16cid:durableId="78212363">
    <w:abstractNumId w:val="5"/>
  </w:num>
  <w:num w:numId="25" w16cid:durableId="1344480421">
    <w:abstractNumId w:val="34"/>
  </w:num>
  <w:num w:numId="26" w16cid:durableId="1801075354">
    <w:abstractNumId w:val="19"/>
  </w:num>
  <w:num w:numId="27" w16cid:durableId="854803226">
    <w:abstractNumId w:val="21"/>
  </w:num>
  <w:num w:numId="28" w16cid:durableId="274531244">
    <w:abstractNumId w:val="16"/>
  </w:num>
  <w:num w:numId="29" w16cid:durableId="1843737522">
    <w:abstractNumId w:val="28"/>
  </w:num>
  <w:num w:numId="30" w16cid:durableId="1592201984">
    <w:abstractNumId w:val="10"/>
  </w:num>
  <w:num w:numId="31" w16cid:durableId="996038077">
    <w:abstractNumId w:val="24"/>
  </w:num>
  <w:num w:numId="32" w16cid:durableId="711003052">
    <w:abstractNumId w:val="33"/>
  </w:num>
  <w:num w:numId="33" w16cid:durableId="629019317">
    <w:abstractNumId w:val="32"/>
  </w:num>
  <w:num w:numId="34" w16cid:durableId="2041085736">
    <w:abstractNumId w:val="26"/>
  </w:num>
  <w:num w:numId="35" w16cid:durableId="1038579207">
    <w:abstractNumId w:val="14"/>
  </w:num>
  <w:num w:numId="36" w16cid:durableId="1822841541">
    <w:abstractNumId w:val="22"/>
  </w:num>
  <w:num w:numId="37" w16cid:durableId="27664516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F86"/>
    <w:rsid w:val="00004594"/>
    <w:rsid w:val="0002126A"/>
    <w:rsid w:val="000276C0"/>
    <w:rsid w:val="00083C36"/>
    <w:rsid w:val="000B766B"/>
    <w:rsid w:val="000C3AA4"/>
    <w:rsid w:val="000D5841"/>
    <w:rsid w:val="000E1D28"/>
    <w:rsid w:val="000E270E"/>
    <w:rsid w:val="000E35C5"/>
    <w:rsid w:val="000F2DFD"/>
    <w:rsid w:val="00106849"/>
    <w:rsid w:val="00116D0B"/>
    <w:rsid w:val="00135A72"/>
    <w:rsid w:val="0014144F"/>
    <w:rsid w:val="001C7FCE"/>
    <w:rsid w:val="001D05CD"/>
    <w:rsid w:val="001D1A34"/>
    <w:rsid w:val="001E4030"/>
    <w:rsid w:val="00211CA6"/>
    <w:rsid w:val="00247FEF"/>
    <w:rsid w:val="002629FE"/>
    <w:rsid w:val="002712D1"/>
    <w:rsid w:val="002756B8"/>
    <w:rsid w:val="002808CB"/>
    <w:rsid w:val="0028676D"/>
    <w:rsid w:val="002A426B"/>
    <w:rsid w:val="002E025E"/>
    <w:rsid w:val="002F269F"/>
    <w:rsid w:val="002F4ACA"/>
    <w:rsid w:val="00301CF3"/>
    <w:rsid w:val="003039BC"/>
    <w:rsid w:val="003047F8"/>
    <w:rsid w:val="003204CD"/>
    <w:rsid w:val="00327AF1"/>
    <w:rsid w:val="00343D26"/>
    <w:rsid w:val="00362128"/>
    <w:rsid w:val="003A1DC2"/>
    <w:rsid w:val="003D73E5"/>
    <w:rsid w:val="003E3381"/>
    <w:rsid w:val="003E41F9"/>
    <w:rsid w:val="004343E3"/>
    <w:rsid w:val="00434774"/>
    <w:rsid w:val="00456C08"/>
    <w:rsid w:val="0048717D"/>
    <w:rsid w:val="00491FE9"/>
    <w:rsid w:val="004E418F"/>
    <w:rsid w:val="004F0EA9"/>
    <w:rsid w:val="0050486D"/>
    <w:rsid w:val="00516F86"/>
    <w:rsid w:val="005211F9"/>
    <w:rsid w:val="005314D7"/>
    <w:rsid w:val="00551653"/>
    <w:rsid w:val="00555027"/>
    <w:rsid w:val="00592FE2"/>
    <w:rsid w:val="005D0AF1"/>
    <w:rsid w:val="005E3F65"/>
    <w:rsid w:val="005F7703"/>
    <w:rsid w:val="00611E97"/>
    <w:rsid w:val="006158DB"/>
    <w:rsid w:val="00617C3A"/>
    <w:rsid w:val="0065164D"/>
    <w:rsid w:val="0069206D"/>
    <w:rsid w:val="006C4625"/>
    <w:rsid w:val="006F3CDC"/>
    <w:rsid w:val="00705660"/>
    <w:rsid w:val="007175F9"/>
    <w:rsid w:val="00727B11"/>
    <w:rsid w:val="0073698C"/>
    <w:rsid w:val="0073762A"/>
    <w:rsid w:val="00757A6C"/>
    <w:rsid w:val="00767F26"/>
    <w:rsid w:val="007A078B"/>
    <w:rsid w:val="007C3ED0"/>
    <w:rsid w:val="007E0C17"/>
    <w:rsid w:val="007E3AAB"/>
    <w:rsid w:val="007E6E80"/>
    <w:rsid w:val="007F60AF"/>
    <w:rsid w:val="0082429A"/>
    <w:rsid w:val="008314C8"/>
    <w:rsid w:val="00842D36"/>
    <w:rsid w:val="00850957"/>
    <w:rsid w:val="0085497A"/>
    <w:rsid w:val="00867A3A"/>
    <w:rsid w:val="00877E95"/>
    <w:rsid w:val="008937D0"/>
    <w:rsid w:val="008A4264"/>
    <w:rsid w:val="008F1F93"/>
    <w:rsid w:val="00910502"/>
    <w:rsid w:val="0091469B"/>
    <w:rsid w:val="00932666"/>
    <w:rsid w:val="00942864"/>
    <w:rsid w:val="0096010F"/>
    <w:rsid w:val="00991B2C"/>
    <w:rsid w:val="00997661"/>
    <w:rsid w:val="009E42A3"/>
    <w:rsid w:val="009F59E9"/>
    <w:rsid w:val="00A34AA1"/>
    <w:rsid w:val="00A43A6E"/>
    <w:rsid w:val="00A74FA7"/>
    <w:rsid w:val="00A86BC9"/>
    <w:rsid w:val="00AB3200"/>
    <w:rsid w:val="00AD2015"/>
    <w:rsid w:val="00AE7BA9"/>
    <w:rsid w:val="00B1217F"/>
    <w:rsid w:val="00B47FC3"/>
    <w:rsid w:val="00B82F66"/>
    <w:rsid w:val="00B83DEE"/>
    <w:rsid w:val="00B856A7"/>
    <w:rsid w:val="00BA010D"/>
    <w:rsid w:val="00BB688A"/>
    <w:rsid w:val="00BD60C8"/>
    <w:rsid w:val="00BE3E94"/>
    <w:rsid w:val="00BF58AC"/>
    <w:rsid w:val="00BF664D"/>
    <w:rsid w:val="00C209E2"/>
    <w:rsid w:val="00C26962"/>
    <w:rsid w:val="00C27173"/>
    <w:rsid w:val="00C3723C"/>
    <w:rsid w:val="00C421F2"/>
    <w:rsid w:val="00C51C7A"/>
    <w:rsid w:val="00CA124E"/>
    <w:rsid w:val="00CB4DA9"/>
    <w:rsid w:val="00CD1F21"/>
    <w:rsid w:val="00CE7A0E"/>
    <w:rsid w:val="00CF74A0"/>
    <w:rsid w:val="00D05964"/>
    <w:rsid w:val="00D3181B"/>
    <w:rsid w:val="00D56EBE"/>
    <w:rsid w:val="00D7024D"/>
    <w:rsid w:val="00D76ACF"/>
    <w:rsid w:val="00D96278"/>
    <w:rsid w:val="00DA0C1C"/>
    <w:rsid w:val="00E0121D"/>
    <w:rsid w:val="00E16C0B"/>
    <w:rsid w:val="00E23F42"/>
    <w:rsid w:val="00E674DB"/>
    <w:rsid w:val="00E73C6C"/>
    <w:rsid w:val="00E77848"/>
    <w:rsid w:val="00EC29B5"/>
    <w:rsid w:val="00ED7D41"/>
    <w:rsid w:val="00F0422F"/>
    <w:rsid w:val="00F16DC0"/>
    <w:rsid w:val="00F51140"/>
    <w:rsid w:val="00F5750D"/>
    <w:rsid w:val="00F94BFF"/>
    <w:rsid w:val="00FB2F30"/>
    <w:rsid w:val="00FC4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4AD92B"/>
  <w15:docId w15:val="{47CBF1D8-53FC-485A-9244-C1195DD8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rsid w:val="003A1DC2"/>
    <w:pPr>
      <w:spacing w:before="240" w:after="240"/>
      <w:outlineLvl w:val="0"/>
    </w:pPr>
    <w:rPr>
      <w:rFonts w:ascii="Garamond" w:hAnsi="Garamond"/>
      <w:b/>
      <w:bCs/>
      <w:color w:val="92D050"/>
      <w:sz w:val="24"/>
      <w:szCs w:val="24"/>
    </w:rPr>
  </w:style>
  <w:style w:type="paragraph" w:styleId="Heading2">
    <w:name w:val="heading 2"/>
    <w:basedOn w:val="Normal"/>
    <w:next w:val="Normal"/>
    <w:link w:val="Heading2Char"/>
    <w:uiPriority w:val="9"/>
    <w:unhideWhenUsed/>
    <w:qFormat/>
    <w:rsid w:val="003A1DC2"/>
    <w:pPr>
      <w:keepNext/>
      <w:keepLines/>
      <w:spacing w:before="240" w:after="240"/>
      <w:outlineLvl w:val="1"/>
    </w:pPr>
    <w:rPr>
      <w:rFonts w:ascii="Garamond" w:eastAsiaTheme="majorEastAsia" w:hAnsi="Garamond" w:cstheme="majorBidi"/>
      <w:b/>
      <w:color w:val="92D05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5"/>
      <w:ind w:left="608" w:right="8" w:hanging="609"/>
    </w:pPr>
    <w:rPr>
      <w:sz w:val="24"/>
      <w:szCs w:val="24"/>
    </w:rPr>
  </w:style>
  <w:style w:type="paragraph" w:styleId="TOC2">
    <w:name w:val="toc 2"/>
    <w:basedOn w:val="Normal"/>
    <w:uiPriority w:val="39"/>
    <w:qFormat/>
    <w:pPr>
      <w:spacing w:before="255"/>
      <w:ind w:left="572" w:hanging="759"/>
    </w:pPr>
    <w:rPr>
      <w:sz w:val="24"/>
      <w:szCs w:val="24"/>
    </w:rPr>
  </w:style>
  <w:style w:type="paragraph" w:styleId="TOC3">
    <w:name w:val="toc 3"/>
    <w:basedOn w:val="Normal"/>
    <w:uiPriority w:val="1"/>
    <w:qFormat/>
    <w:rsid w:val="003A1DC2"/>
    <w:pPr>
      <w:spacing w:before="256" w:after="240"/>
    </w:pPr>
    <w:rPr>
      <w:rFonts w:ascii="Garamond" w:hAnsi="Garamond"/>
      <w:b/>
      <w:color w:val="92D050"/>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spacing w:before="120"/>
      <w:ind w:left="107"/>
    </w:pPr>
  </w:style>
  <w:style w:type="table" w:styleId="TableGridLight">
    <w:name w:val="Grid Table Light"/>
    <w:basedOn w:val="TableNormal"/>
    <w:uiPriority w:val="40"/>
    <w:rsid w:val="007056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32666"/>
    <w:rPr>
      <w:rFonts w:ascii="Times New Roman" w:hAnsi="Times New Roman" w:cs="Times New Roman"/>
      <w:sz w:val="24"/>
      <w:szCs w:val="24"/>
    </w:rPr>
  </w:style>
  <w:style w:type="character" w:styleId="Hyperlink">
    <w:name w:val="Hyperlink"/>
    <w:basedOn w:val="DefaultParagraphFont"/>
    <w:uiPriority w:val="99"/>
    <w:unhideWhenUsed/>
    <w:rsid w:val="000C3AA4"/>
    <w:rPr>
      <w:color w:val="0000FF" w:themeColor="hyperlink"/>
      <w:u w:val="single"/>
    </w:rPr>
  </w:style>
  <w:style w:type="paragraph" w:styleId="FootnoteText">
    <w:name w:val="footnote text"/>
    <w:basedOn w:val="Normal"/>
    <w:link w:val="FootnoteTextChar"/>
    <w:uiPriority w:val="99"/>
    <w:semiHidden/>
    <w:unhideWhenUsed/>
    <w:rsid w:val="000C3AA4"/>
    <w:rPr>
      <w:sz w:val="20"/>
      <w:szCs w:val="20"/>
    </w:rPr>
  </w:style>
  <w:style w:type="character" w:customStyle="1" w:styleId="FootnoteTextChar">
    <w:name w:val="Footnote Text Char"/>
    <w:basedOn w:val="DefaultParagraphFont"/>
    <w:link w:val="FootnoteText"/>
    <w:uiPriority w:val="99"/>
    <w:semiHidden/>
    <w:rsid w:val="000C3AA4"/>
    <w:rPr>
      <w:rFonts w:ascii="Georgia" w:eastAsia="Georgia" w:hAnsi="Georgia" w:cs="Georgia"/>
      <w:sz w:val="20"/>
      <w:szCs w:val="20"/>
    </w:rPr>
  </w:style>
  <w:style w:type="character" w:styleId="FootnoteReference">
    <w:name w:val="footnote reference"/>
    <w:aliases w:val="BVI fnr Car,BVI fnr Car1,BVI fnr Car Car Car,BVI fnr Car Car,BVI fnr Car Car Car Car Char Char Car,BVI fnr Car Car Car Car Char Char Char Char Char Car,BVI fnr Car Car Car Car Char Car Car,ftref,Carattere Char1,FOOTNOTES Char,BVI fnr"/>
    <w:basedOn w:val="DefaultParagraphFont"/>
    <w:uiPriority w:val="99"/>
    <w:semiHidden/>
    <w:unhideWhenUsed/>
    <w:qFormat/>
    <w:rsid w:val="000C3AA4"/>
    <w:rPr>
      <w:vertAlign w:val="superscript"/>
    </w:rPr>
  </w:style>
  <w:style w:type="paragraph" w:styleId="Footer">
    <w:name w:val="footer"/>
    <w:basedOn w:val="Normal"/>
    <w:link w:val="FooterChar"/>
    <w:uiPriority w:val="99"/>
    <w:unhideWhenUsed/>
    <w:rsid w:val="00B83DEE"/>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B83DEE"/>
    <w:rPr>
      <w:lang w:val="en-GB"/>
    </w:rPr>
  </w:style>
  <w:style w:type="table" w:styleId="TableGrid">
    <w:name w:val="Table Grid"/>
    <w:basedOn w:val="TableNormal"/>
    <w:uiPriority w:val="39"/>
    <w:rsid w:val="00B83DE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A1DC2"/>
    <w:rPr>
      <w:rFonts w:ascii="Garamond" w:eastAsiaTheme="majorEastAsia" w:hAnsi="Garamond" w:cstheme="majorBidi"/>
      <w:b/>
      <w:color w:val="92D050"/>
      <w:sz w:val="24"/>
      <w:szCs w:val="26"/>
    </w:rPr>
  </w:style>
  <w:style w:type="table" w:customStyle="1" w:styleId="TableGridLight1">
    <w:name w:val="Table Grid Light1"/>
    <w:basedOn w:val="TableNormal"/>
    <w:next w:val="TableGridLight"/>
    <w:uiPriority w:val="40"/>
    <w:rsid w:val="000E35C5"/>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Heading">
    <w:name w:val="TOC Heading"/>
    <w:basedOn w:val="Heading1"/>
    <w:next w:val="Normal"/>
    <w:uiPriority w:val="39"/>
    <w:unhideWhenUsed/>
    <w:qFormat/>
    <w:rsid w:val="00F94BFF"/>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E23F42"/>
    <w:pPr>
      <w:tabs>
        <w:tab w:val="center" w:pos="4680"/>
        <w:tab w:val="right" w:pos="9360"/>
      </w:tabs>
    </w:pPr>
  </w:style>
  <w:style w:type="character" w:customStyle="1" w:styleId="HeaderChar">
    <w:name w:val="Header Char"/>
    <w:basedOn w:val="DefaultParagraphFont"/>
    <w:link w:val="Header"/>
    <w:uiPriority w:val="99"/>
    <w:rsid w:val="00E23F42"/>
    <w:rPr>
      <w:rFonts w:ascii="Georgia" w:eastAsia="Georgia" w:hAnsi="Georgia" w:cs="Georgia"/>
    </w:rPr>
  </w:style>
  <w:style w:type="paragraph" w:styleId="Caption">
    <w:name w:val="caption"/>
    <w:basedOn w:val="Normal"/>
    <w:next w:val="Normal"/>
    <w:autoRedefine/>
    <w:uiPriority w:val="35"/>
    <w:unhideWhenUsed/>
    <w:qFormat/>
    <w:rsid w:val="00C27173"/>
    <w:pPr>
      <w:keepNext/>
      <w:spacing w:after="200"/>
    </w:pPr>
    <w:rPr>
      <w:rFonts w:ascii="Garamond" w:hAnsi="Garamond"/>
      <w:i/>
      <w:iCs/>
      <w:color w:val="76B531"/>
      <w:sz w:val="24"/>
      <w:szCs w:val="24"/>
    </w:rPr>
  </w:style>
  <w:style w:type="table" w:customStyle="1" w:styleId="TableGridLight2">
    <w:name w:val="Table Grid Light2"/>
    <w:basedOn w:val="TableNormal"/>
    <w:next w:val="TableGridLight"/>
    <w:uiPriority w:val="40"/>
    <w:rsid w:val="003A1DC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9F59E9"/>
    <w:pPr>
      <w:widowControl/>
      <w:autoSpaceDE/>
      <w:autoSpaceDN/>
    </w:pPr>
    <w:rPr>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F59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116D0B"/>
  </w:style>
  <w:style w:type="table" w:customStyle="1" w:styleId="TableGridLight3">
    <w:name w:val="Table Grid Light3"/>
    <w:basedOn w:val="TableNormal"/>
    <w:next w:val="TableGridLight"/>
    <w:uiPriority w:val="40"/>
    <w:rsid w:val="00116D0B"/>
    <w:pPr>
      <w:widowControl/>
      <w:autoSpaceDE/>
      <w:autoSpaceDN/>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next w:val="PlainTable1"/>
    <w:uiPriority w:val="41"/>
    <w:rsid w:val="00116D0B"/>
    <w:pPr>
      <w:widowControl/>
      <w:autoSpaceDE/>
      <w:autoSpaceDN/>
    </w:pPr>
    <w:rPr>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2629FE"/>
    <w:rPr>
      <w:sz w:val="16"/>
      <w:szCs w:val="16"/>
    </w:rPr>
  </w:style>
  <w:style w:type="paragraph" w:styleId="CommentText">
    <w:name w:val="annotation text"/>
    <w:basedOn w:val="Normal"/>
    <w:link w:val="CommentTextChar"/>
    <w:uiPriority w:val="99"/>
    <w:semiHidden/>
    <w:unhideWhenUsed/>
    <w:rsid w:val="002629FE"/>
    <w:rPr>
      <w:sz w:val="20"/>
      <w:szCs w:val="20"/>
    </w:rPr>
  </w:style>
  <w:style w:type="character" w:customStyle="1" w:styleId="CommentTextChar">
    <w:name w:val="Comment Text Char"/>
    <w:basedOn w:val="DefaultParagraphFont"/>
    <w:link w:val="CommentText"/>
    <w:uiPriority w:val="99"/>
    <w:semiHidden/>
    <w:rsid w:val="002629FE"/>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2629FE"/>
    <w:rPr>
      <w:b/>
      <w:bCs/>
    </w:rPr>
  </w:style>
  <w:style w:type="character" w:customStyle="1" w:styleId="CommentSubjectChar">
    <w:name w:val="Comment Subject Char"/>
    <w:basedOn w:val="CommentTextChar"/>
    <w:link w:val="CommentSubject"/>
    <w:uiPriority w:val="99"/>
    <w:semiHidden/>
    <w:rsid w:val="002629FE"/>
    <w:rPr>
      <w:rFonts w:ascii="Georgia" w:eastAsia="Georgia" w:hAnsi="Georgia" w:cs="Georgia"/>
      <w:b/>
      <w:bCs/>
      <w:sz w:val="20"/>
      <w:szCs w:val="20"/>
    </w:rPr>
  </w:style>
  <w:style w:type="paragraph" w:styleId="Revision">
    <w:name w:val="Revision"/>
    <w:hidden/>
    <w:uiPriority w:val="99"/>
    <w:semiHidden/>
    <w:rsid w:val="002629FE"/>
    <w:pPr>
      <w:widowControl/>
      <w:autoSpaceDE/>
      <w:autoSpaceDN/>
    </w:pPr>
    <w:rPr>
      <w:rFonts w:ascii="Georgia" w:eastAsia="Georgia" w:hAnsi="Georgia" w:cs="Georgia"/>
    </w:rPr>
  </w:style>
  <w:style w:type="paragraph" w:styleId="BalloonText">
    <w:name w:val="Balloon Text"/>
    <w:basedOn w:val="Normal"/>
    <w:link w:val="BalloonTextChar"/>
    <w:uiPriority w:val="99"/>
    <w:semiHidden/>
    <w:unhideWhenUsed/>
    <w:rsid w:val="00083C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36"/>
    <w:rPr>
      <w:rFonts w:ascii="Segoe UI" w:eastAsia="Georg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4731">
      <w:bodyDiv w:val="1"/>
      <w:marLeft w:val="0"/>
      <w:marRight w:val="0"/>
      <w:marTop w:val="0"/>
      <w:marBottom w:val="0"/>
      <w:divBdr>
        <w:top w:val="none" w:sz="0" w:space="0" w:color="auto"/>
        <w:left w:val="none" w:sz="0" w:space="0" w:color="auto"/>
        <w:bottom w:val="none" w:sz="0" w:space="0" w:color="auto"/>
        <w:right w:val="none" w:sz="0" w:space="0" w:color="auto"/>
      </w:divBdr>
    </w:div>
    <w:div w:id="253981587">
      <w:bodyDiv w:val="1"/>
      <w:marLeft w:val="0"/>
      <w:marRight w:val="0"/>
      <w:marTop w:val="0"/>
      <w:marBottom w:val="0"/>
      <w:divBdr>
        <w:top w:val="none" w:sz="0" w:space="0" w:color="auto"/>
        <w:left w:val="none" w:sz="0" w:space="0" w:color="auto"/>
        <w:bottom w:val="none" w:sz="0" w:space="0" w:color="auto"/>
        <w:right w:val="none" w:sz="0" w:space="0" w:color="auto"/>
      </w:divBdr>
    </w:div>
    <w:div w:id="327287647">
      <w:bodyDiv w:val="1"/>
      <w:marLeft w:val="0"/>
      <w:marRight w:val="0"/>
      <w:marTop w:val="0"/>
      <w:marBottom w:val="0"/>
      <w:divBdr>
        <w:top w:val="none" w:sz="0" w:space="0" w:color="auto"/>
        <w:left w:val="none" w:sz="0" w:space="0" w:color="auto"/>
        <w:bottom w:val="none" w:sz="0" w:space="0" w:color="auto"/>
        <w:right w:val="none" w:sz="0" w:space="0" w:color="auto"/>
      </w:divBdr>
    </w:div>
    <w:div w:id="355740178">
      <w:bodyDiv w:val="1"/>
      <w:marLeft w:val="0"/>
      <w:marRight w:val="0"/>
      <w:marTop w:val="0"/>
      <w:marBottom w:val="0"/>
      <w:divBdr>
        <w:top w:val="none" w:sz="0" w:space="0" w:color="auto"/>
        <w:left w:val="none" w:sz="0" w:space="0" w:color="auto"/>
        <w:bottom w:val="none" w:sz="0" w:space="0" w:color="auto"/>
        <w:right w:val="none" w:sz="0" w:space="0" w:color="auto"/>
      </w:divBdr>
    </w:div>
    <w:div w:id="639657033">
      <w:bodyDiv w:val="1"/>
      <w:marLeft w:val="0"/>
      <w:marRight w:val="0"/>
      <w:marTop w:val="0"/>
      <w:marBottom w:val="0"/>
      <w:divBdr>
        <w:top w:val="none" w:sz="0" w:space="0" w:color="auto"/>
        <w:left w:val="none" w:sz="0" w:space="0" w:color="auto"/>
        <w:bottom w:val="none" w:sz="0" w:space="0" w:color="auto"/>
        <w:right w:val="none" w:sz="0" w:space="0" w:color="auto"/>
      </w:divBdr>
    </w:div>
    <w:div w:id="640815033">
      <w:bodyDiv w:val="1"/>
      <w:marLeft w:val="0"/>
      <w:marRight w:val="0"/>
      <w:marTop w:val="0"/>
      <w:marBottom w:val="0"/>
      <w:divBdr>
        <w:top w:val="none" w:sz="0" w:space="0" w:color="auto"/>
        <w:left w:val="none" w:sz="0" w:space="0" w:color="auto"/>
        <w:bottom w:val="none" w:sz="0" w:space="0" w:color="auto"/>
        <w:right w:val="none" w:sz="0" w:space="0" w:color="auto"/>
      </w:divBdr>
    </w:div>
    <w:div w:id="644434079">
      <w:bodyDiv w:val="1"/>
      <w:marLeft w:val="0"/>
      <w:marRight w:val="0"/>
      <w:marTop w:val="0"/>
      <w:marBottom w:val="0"/>
      <w:divBdr>
        <w:top w:val="none" w:sz="0" w:space="0" w:color="auto"/>
        <w:left w:val="none" w:sz="0" w:space="0" w:color="auto"/>
        <w:bottom w:val="none" w:sz="0" w:space="0" w:color="auto"/>
        <w:right w:val="none" w:sz="0" w:space="0" w:color="auto"/>
      </w:divBdr>
    </w:div>
    <w:div w:id="822552372">
      <w:bodyDiv w:val="1"/>
      <w:marLeft w:val="0"/>
      <w:marRight w:val="0"/>
      <w:marTop w:val="0"/>
      <w:marBottom w:val="0"/>
      <w:divBdr>
        <w:top w:val="none" w:sz="0" w:space="0" w:color="auto"/>
        <w:left w:val="none" w:sz="0" w:space="0" w:color="auto"/>
        <w:bottom w:val="none" w:sz="0" w:space="0" w:color="auto"/>
        <w:right w:val="none" w:sz="0" w:space="0" w:color="auto"/>
      </w:divBdr>
    </w:div>
    <w:div w:id="859509288">
      <w:bodyDiv w:val="1"/>
      <w:marLeft w:val="0"/>
      <w:marRight w:val="0"/>
      <w:marTop w:val="0"/>
      <w:marBottom w:val="0"/>
      <w:divBdr>
        <w:top w:val="none" w:sz="0" w:space="0" w:color="auto"/>
        <w:left w:val="none" w:sz="0" w:space="0" w:color="auto"/>
        <w:bottom w:val="none" w:sz="0" w:space="0" w:color="auto"/>
        <w:right w:val="none" w:sz="0" w:space="0" w:color="auto"/>
      </w:divBdr>
    </w:div>
    <w:div w:id="945111391">
      <w:bodyDiv w:val="1"/>
      <w:marLeft w:val="0"/>
      <w:marRight w:val="0"/>
      <w:marTop w:val="0"/>
      <w:marBottom w:val="0"/>
      <w:divBdr>
        <w:top w:val="none" w:sz="0" w:space="0" w:color="auto"/>
        <w:left w:val="none" w:sz="0" w:space="0" w:color="auto"/>
        <w:bottom w:val="none" w:sz="0" w:space="0" w:color="auto"/>
        <w:right w:val="none" w:sz="0" w:space="0" w:color="auto"/>
      </w:divBdr>
    </w:div>
    <w:div w:id="1162618504">
      <w:bodyDiv w:val="1"/>
      <w:marLeft w:val="0"/>
      <w:marRight w:val="0"/>
      <w:marTop w:val="0"/>
      <w:marBottom w:val="0"/>
      <w:divBdr>
        <w:top w:val="none" w:sz="0" w:space="0" w:color="auto"/>
        <w:left w:val="none" w:sz="0" w:space="0" w:color="auto"/>
        <w:bottom w:val="none" w:sz="0" w:space="0" w:color="auto"/>
        <w:right w:val="none" w:sz="0" w:space="0" w:color="auto"/>
      </w:divBdr>
    </w:div>
    <w:div w:id="1186290991">
      <w:bodyDiv w:val="1"/>
      <w:marLeft w:val="0"/>
      <w:marRight w:val="0"/>
      <w:marTop w:val="0"/>
      <w:marBottom w:val="0"/>
      <w:divBdr>
        <w:top w:val="none" w:sz="0" w:space="0" w:color="auto"/>
        <w:left w:val="none" w:sz="0" w:space="0" w:color="auto"/>
        <w:bottom w:val="none" w:sz="0" w:space="0" w:color="auto"/>
        <w:right w:val="none" w:sz="0" w:space="0" w:color="auto"/>
      </w:divBdr>
    </w:div>
    <w:div w:id="1299528983">
      <w:bodyDiv w:val="1"/>
      <w:marLeft w:val="0"/>
      <w:marRight w:val="0"/>
      <w:marTop w:val="0"/>
      <w:marBottom w:val="0"/>
      <w:divBdr>
        <w:top w:val="none" w:sz="0" w:space="0" w:color="auto"/>
        <w:left w:val="none" w:sz="0" w:space="0" w:color="auto"/>
        <w:bottom w:val="none" w:sz="0" w:space="0" w:color="auto"/>
        <w:right w:val="none" w:sz="0" w:space="0" w:color="auto"/>
      </w:divBdr>
    </w:div>
    <w:div w:id="1700471930">
      <w:bodyDiv w:val="1"/>
      <w:marLeft w:val="0"/>
      <w:marRight w:val="0"/>
      <w:marTop w:val="0"/>
      <w:marBottom w:val="0"/>
      <w:divBdr>
        <w:top w:val="none" w:sz="0" w:space="0" w:color="auto"/>
        <w:left w:val="none" w:sz="0" w:space="0" w:color="auto"/>
        <w:bottom w:val="none" w:sz="0" w:space="0" w:color="auto"/>
        <w:right w:val="none" w:sz="0" w:space="0" w:color="auto"/>
      </w:divBdr>
    </w:div>
    <w:div w:id="1783838860">
      <w:bodyDiv w:val="1"/>
      <w:marLeft w:val="0"/>
      <w:marRight w:val="0"/>
      <w:marTop w:val="0"/>
      <w:marBottom w:val="0"/>
      <w:divBdr>
        <w:top w:val="none" w:sz="0" w:space="0" w:color="auto"/>
        <w:left w:val="none" w:sz="0" w:space="0" w:color="auto"/>
        <w:bottom w:val="none" w:sz="0" w:space="0" w:color="auto"/>
        <w:right w:val="none" w:sz="0" w:space="0" w:color="auto"/>
      </w:divBdr>
    </w:div>
    <w:div w:id="1801072687">
      <w:bodyDiv w:val="1"/>
      <w:marLeft w:val="0"/>
      <w:marRight w:val="0"/>
      <w:marTop w:val="0"/>
      <w:marBottom w:val="0"/>
      <w:divBdr>
        <w:top w:val="none" w:sz="0" w:space="0" w:color="auto"/>
        <w:left w:val="none" w:sz="0" w:space="0" w:color="auto"/>
        <w:bottom w:val="none" w:sz="0" w:space="0" w:color="auto"/>
        <w:right w:val="none" w:sz="0" w:space="0" w:color="auto"/>
      </w:divBdr>
    </w:div>
    <w:div w:id="1861969896">
      <w:bodyDiv w:val="1"/>
      <w:marLeft w:val="0"/>
      <w:marRight w:val="0"/>
      <w:marTop w:val="0"/>
      <w:marBottom w:val="0"/>
      <w:divBdr>
        <w:top w:val="none" w:sz="0" w:space="0" w:color="auto"/>
        <w:left w:val="none" w:sz="0" w:space="0" w:color="auto"/>
        <w:bottom w:val="none" w:sz="0" w:space="0" w:color="auto"/>
        <w:right w:val="none" w:sz="0" w:space="0" w:color="auto"/>
      </w:divBdr>
      <w:divsChild>
        <w:div w:id="555052450">
          <w:marLeft w:val="0"/>
          <w:marRight w:val="0"/>
          <w:marTop w:val="0"/>
          <w:marBottom w:val="0"/>
          <w:divBdr>
            <w:top w:val="single" w:sz="2" w:space="0" w:color="E3E3E3"/>
            <w:left w:val="single" w:sz="2" w:space="0" w:color="E3E3E3"/>
            <w:bottom w:val="single" w:sz="2" w:space="0" w:color="E3E3E3"/>
            <w:right w:val="single" w:sz="2" w:space="0" w:color="E3E3E3"/>
          </w:divBdr>
          <w:divsChild>
            <w:div w:id="2064254016">
              <w:marLeft w:val="0"/>
              <w:marRight w:val="0"/>
              <w:marTop w:val="0"/>
              <w:marBottom w:val="0"/>
              <w:divBdr>
                <w:top w:val="single" w:sz="2" w:space="0" w:color="E3E3E3"/>
                <w:left w:val="single" w:sz="2" w:space="0" w:color="E3E3E3"/>
                <w:bottom w:val="single" w:sz="2" w:space="0" w:color="E3E3E3"/>
                <w:right w:val="single" w:sz="2" w:space="0" w:color="E3E3E3"/>
              </w:divBdr>
              <w:divsChild>
                <w:div w:id="621419055">
                  <w:marLeft w:val="0"/>
                  <w:marRight w:val="0"/>
                  <w:marTop w:val="0"/>
                  <w:marBottom w:val="0"/>
                  <w:divBdr>
                    <w:top w:val="single" w:sz="2" w:space="0" w:color="E3E3E3"/>
                    <w:left w:val="single" w:sz="2" w:space="0" w:color="E3E3E3"/>
                    <w:bottom w:val="single" w:sz="2" w:space="0" w:color="E3E3E3"/>
                    <w:right w:val="single" w:sz="2" w:space="0" w:color="E3E3E3"/>
                  </w:divBdr>
                  <w:divsChild>
                    <w:div w:id="69349434">
                      <w:marLeft w:val="0"/>
                      <w:marRight w:val="0"/>
                      <w:marTop w:val="0"/>
                      <w:marBottom w:val="0"/>
                      <w:divBdr>
                        <w:top w:val="single" w:sz="2" w:space="0" w:color="E3E3E3"/>
                        <w:left w:val="single" w:sz="2" w:space="0" w:color="E3E3E3"/>
                        <w:bottom w:val="single" w:sz="2" w:space="0" w:color="E3E3E3"/>
                        <w:right w:val="single" w:sz="2" w:space="0" w:color="E3E3E3"/>
                      </w:divBdr>
                      <w:divsChild>
                        <w:div w:id="1725374006">
                          <w:marLeft w:val="0"/>
                          <w:marRight w:val="0"/>
                          <w:marTop w:val="0"/>
                          <w:marBottom w:val="0"/>
                          <w:divBdr>
                            <w:top w:val="single" w:sz="2" w:space="0" w:color="E3E3E3"/>
                            <w:left w:val="single" w:sz="2" w:space="0" w:color="E3E3E3"/>
                            <w:bottom w:val="single" w:sz="2" w:space="0" w:color="E3E3E3"/>
                            <w:right w:val="single" w:sz="2" w:space="0" w:color="E3E3E3"/>
                          </w:divBdr>
                          <w:divsChild>
                            <w:div w:id="954947052">
                              <w:marLeft w:val="0"/>
                              <w:marRight w:val="0"/>
                              <w:marTop w:val="0"/>
                              <w:marBottom w:val="0"/>
                              <w:divBdr>
                                <w:top w:val="single" w:sz="2" w:space="0" w:color="E3E3E3"/>
                                <w:left w:val="single" w:sz="2" w:space="0" w:color="E3E3E3"/>
                                <w:bottom w:val="single" w:sz="2" w:space="0" w:color="E3E3E3"/>
                                <w:right w:val="single" w:sz="2" w:space="0" w:color="E3E3E3"/>
                              </w:divBdr>
                              <w:divsChild>
                                <w:div w:id="2146267442">
                                  <w:marLeft w:val="0"/>
                                  <w:marRight w:val="0"/>
                                  <w:marTop w:val="100"/>
                                  <w:marBottom w:val="100"/>
                                  <w:divBdr>
                                    <w:top w:val="single" w:sz="2" w:space="0" w:color="E3E3E3"/>
                                    <w:left w:val="single" w:sz="2" w:space="0" w:color="E3E3E3"/>
                                    <w:bottom w:val="single" w:sz="2" w:space="0" w:color="E3E3E3"/>
                                    <w:right w:val="single" w:sz="2" w:space="0" w:color="E3E3E3"/>
                                  </w:divBdr>
                                  <w:divsChild>
                                    <w:div w:id="713693990">
                                      <w:marLeft w:val="0"/>
                                      <w:marRight w:val="0"/>
                                      <w:marTop w:val="0"/>
                                      <w:marBottom w:val="0"/>
                                      <w:divBdr>
                                        <w:top w:val="single" w:sz="2" w:space="0" w:color="E3E3E3"/>
                                        <w:left w:val="single" w:sz="2" w:space="0" w:color="E3E3E3"/>
                                        <w:bottom w:val="single" w:sz="2" w:space="0" w:color="E3E3E3"/>
                                        <w:right w:val="single" w:sz="2" w:space="0" w:color="E3E3E3"/>
                                      </w:divBdr>
                                      <w:divsChild>
                                        <w:div w:id="83691271">
                                          <w:marLeft w:val="0"/>
                                          <w:marRight w:val="0"/>
                                          <w:marTop w:val="0"/>
                                          <w:marBottom w:val="0"/>
                                          <w:divBdr>
                                            <w:top w:val="single" w:sz="2" w:space="0" w:color="E3E3E3"/>
                                            <w:left w:val="single" w:sz="2" w:space="0" w:color="E3E3E3"/>
                                            <w:bottom w:val="single" w:sz="2" w:space="0" w:color="E3E3E3"/>
                                            <w:right w:val="single" w:sz="2" w:space="0" w:color="E3E3E3"/>
                                          </w:divBdr>
                                          <w:divsChild>
                                            <w:div w:id="861748038">
                                              <w:marLeft w:val="0"/>
                                              <w:marRight w:val="0"/>
                                              <w:marTop w:val="0"/>
                                              <w:marBottom w:val="0"/>
                                              <w:divBdr>
                                                <w:top w:val="single" w:sz="2" w:space="0" w:color="E3E3E3"/>
                                                <w:left w:val="single" w:sz="2" w:space="0" w:color="E3E3E3"/>
                                                <w:bottom w:val="single" w:sz="2" w:space="0" w:color="E3E3E3"/>
                                                <w:right w:val="single" w:sz="2" w:space="0" w:color="E3E3E3"/>
                                              </w:divBdr>
                                              <w:divsChild>
                                                <w:div w:id="2083748123">
                                                  <w:marLeft w:val="0"/>
                                                  <w:marRight w:val="0"/>
                                                  <w:marTop w:val="0"/>
                                                  <w:marBottom w:val="0"/>
                                                  <w:divBdr>
                                                    <w:top w:val="single" w:sz="2" w:space="0" w:color="E3E3E3"/>
                                                    <w:left w:val="single" w:sz="2" w:space="0" w:color="E3E3E3"/>
                                                    <w:bottom w:val="single" w:sz="2" w:space="0" w:color="E3E3E3"/>
                                                    <w:right w:val="single" w:sz="2" w:space="0" w:color="E3E3E3"/>
                                                  </w:divBdr>
                                                  <w:divsChild>
                                                    <w:div w:id="496504122">
                                                      <w:marLeft w:val="0"/>
                                                      <w:marRight w:val="0"/>
                                                      <w:marTop w:val="0"/>
                                                      <w:marBottom w:val="0"/>
                                                      <w:divBdr>
                                                        <w:top w:val="single" w:sz="2" w:space="0" w:color="E3E3E3"/>
                                                        <w:left w:val="single" w:sz="2" w:space="0" w:color="E3E3E3"/>
                                                        <w:bottom w:val="single" w:sz="2" w:space="0" w:color="E3E3E3"/>
                                                        <w:right w:val="single" w:sz="2" w:space="0" w:color="E3E3E3"/>
                                                      </w:divBdr>
                                                      <w:divsChild>
                                                        <w:div w:id="1098604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60310210">
          <w:marLeft w:val="0"/>
          <w:marRight w:val="0"/>
          <w:marTop w:val="0"/>
          <w:marBottom w:val="0"/>
          <w:divBdr>
            <w:top w:val="none" w:sz="0" w:space="0" w:color="auto"/>
            <w:left w:val="none" w:sz="0" w:space="0" w:color="auto"/>
            <w:bottom w:val="none" w:sz="0" w:space="0" w:color="auto"/>
            <w:right w:val="none" w:sz="0" w:space="0" w:color="auto"/>
          </w:divBdr>
        </w:div>
      </w:divsChild>
    </w:div>
    <w:div w:id="1896045114">
      <w:bodyDiv w:val="1"/>
      <w:marLeft w:val="0"/>
      <w:marRight w:val="0"/>
      <w:marTop w:val="0"/>
      <w:marBottom w:val="0"/>
      <w:divBdr>
        <w:top w:val="none" w:sz="0" w:space="0" w:color="auto"/>
        <w:left w:val="none" w:sz="0" w:space="0" w:color="auto"/>
        <w:bottom w:val="none" w:sz="0" w:space="0" w:color="auto"/>
        <w:right w:val="none" w:sz="0" w:space="0" w:color="auto"/>
      </w:divBdr>
    </w:div>
    <w:div w:id="1932542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www.un.org/internal-displacement-panel/sites/www.un.org.internal-displacement%20panel/files/idp_consultation_external_summary.pdf" TargetMode="External"/><Relationship Id="rId7" Type="http://schemas.openxmlformats.org/officeDocument/2006/relationships/hyperlink" Target="https://www.msf.org/lake-chad-crisis" TargetMode="External"/><Relationship Id="rId2" Type="http://schemas.openxmlformats.org/officeDocument/2006/relationships/hyperlink" Target="https://www.paradigmpress.org/SSSH/article/download/940/814/1088" TargetMode="External"/><Relationship Id="rId1" Type="http://schemas.openxmlformats.org/officeDocument/2006/relationships/hyperlink" Target="https://www.medium.com@ruthmba/the-plight-of-internally-displaced-persons-idps-and-the-need-for-reinterration-B7555c212f37" TargetMode="External"/><Relationship Id="rId6" Type="http://schemas.openxmlformats.org/officeDocument/2006/relationships/hyperlink" Target="about:blank" TargetMode="External"/><Relationship Id="rId5" Type="http://schemas.openxmlformats.org/officeDocument/2006/relationships/hyperlink" Target="https://statesbudgettransparencysurvey-ng.com/wp-content/uploads/2019/11/Adamawa-State-1.pdf" TargetMode="External"/><Relationship Id="rId4" Type="http://schemas.openxmlformats.org/officeDocument/2006/relationships/hyperlink" Target="https://statehouse.gov.ng/policy/councils-committees/presidential-committee-on-north-east-initi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DE825-3B2D-4CD4-8C70-F60E5B6B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22300</Words>
  <Characters>134694</Characters>
  <Application>Microsoft Office Word</Application>
  <DocSecurity>0</DocSecurity>
  <Lines>4489</Lines>
  <Paragraphs>3139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Yunana Kwaha</cp:lastModifiedBy>
  <cp:revision>2</cp:revision>
  <dcterms:created xsi:type="dcterms:W3CDTF">2025-09-02T12:52:00Z</dcterms:created>
  <dcterms:modified xsi:type="dcterms:W3CDTF">2025-09-02T12:52:00Z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WPS Writer</vt:lpwstr>
  </property>
  <property fmtid="{D5CDD505-2E9C-101B-9397-08002B2CF9AE}" pid="4" name="LastSaved">
    <vt:filetime>2024-04-22T00:00:00Z</vt:filetime>
  </property>
  <property fmtid="{D5CDD505-2E9C-101B-9397-08002B2CF9AE}" pid="5" name="GrammarlyDocumentId">
    <vt:lpwstr>c65224fe-e7df-48db-ad71-931f6492aa68</vt:lpwstr>
  </property>
</Properties>
</file>