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B5B" w:rsidRPr="00244B5B" w:rsidRDefault="00244B5B" w:rsidP="00244B5B">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244B5B">
        <w:rPr>
          <w:rFonts w:ascii="Times New Roman" w:eastAsia="Times New Roman" w:hAnsi="Times New Roman" w:cs="Times New Roman"/>
          <w:b/>
          <w:bCs/>
          <w:sz w:val="36"/>
          <w:szCs w:val="36"/>
        </w:rPr>
        <w:t>Adamawa State Primary Healthcare Development Agency (ADSPHCDA)</w:t>
      </w:r>
    </w:p>
    <w:p w:rsidR="00244B5B" w:rsidRPr="00244B5B" w:rsidRDefault="00244B5B" w:rsidP="00244B5B">
      <w:p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xml:space="preserve">Dr. </w:t>
      </w:r>
      <w:proofErr w:type="spellStart"/>
      <w:r w:rsidRPr="00244B5B">
        <w:rPr>
          <w:rFonts w:ascii="Times New Roman" w:eastAsia="Times New Roman" w:hAnsi="Times New Roman" w:cs="Times New Roman"/>
          <w:sz w:val="24"/>
          <w:szCs w:val="24"/>
        </w:rPr>
        <w:t>Sulaiman</w:t>
      </w:r>
      <w:proofErr w:type="spellEnd"/>
      <w:r w:rsidRPr="00244B5B">
        <w:rPr>
          <w:rFonts w:ascii="Times New Roman" w:eastAsia="Times New Roman" w:hAnsi="Times New Roman" w:cs="Times New Roman"/>
          <w:sz w:val="24"/>
          <w:szCs w:val="24"/>
        </w:rPr>
        <w:t xml:space="preserve"> </w:t>
      </w:r>
      <w:proofErr w:type="spellStart"/>
      <w:r w:rsidRPr="00244B5B">
        <w:rPr>
          <w:rFonts w:ascii="Times New Roman" w:eastAsia="Times New Roman" w:hAnsi="Times New Roman" w:cs="Times New Roman"/>
          <w:sz w:val="24"/>
          <w:szCs w:val="24"/>
        </w:rPr>
        <w:t>Saidu</w:t>
      </w:r>
      <w:proofErr w:type="spellEnd"/>
      <w:r w:rsidRPr="00244B5B">
        <w:rPr>
          <w:rFonts w:ascii="Times New Roman" w:eastAsia="Times New Roman" w:hAnsi="Times New Roman" w:cs="Times New Roman"/>
          <w:sz w:val="24"/>
          <w:szCs w:val="24"/>
        </w:rPr>
        <w:t xml:space="preserve"> Bashir, the Executive Chairman of the Adamawa State Primary Healthcare Development Agency (ADSPHCDA), has demonstrated exceptional leadership in strengthening primary healthcare services across Adamawa State, particularly in rural communities. His efforts have significantly improved healthcare accessibility, quality, and outcomes for residents. Below are some key highlights of his contributions:</w:t>
      </w:r>
    </w:p>
    <w:p w:rsidR="00244B5B" w:rsidRPr="00244B5B" w:rsidRDefault="00244B5B" w:rsidP="00244B5B">
      <w:p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xml:space="preserve">Under Dr. </w:t>
      </w:r>
      <w:proofErr w:type="spellStart"/>
      <w:r w:rsidRPr="00244B5B">
        <w:rPr>
          <w:rFonts w:ascii="Times New Roman" w:eastAsia="Times New Roman" w:hAnsi="Times New Roman" w:cs="Times New Roman"/>
          <w:sz w:val="24"/>
          <w:szCs w:val="24"/>
        </w:rPr>
        <w:t>Sulaiman</w:t>
      </w:r>
      <w:proofErr w:type="spellEnd"/>
      <w:r w:rsidRPr="00244B5B">
        <w:rPr>
          <w:rFonts w:ascii="Times New Roman" w:eastAsia="Times New Roman" w:hAnsi="Times New Roman" w:cs="Times New Roman"/>
          <w:sz w:val="24"/>
          <w:szCs w:val="24"/>
        </w:rPr>
        <w:t xml:space="preserve"> leadership, numerous (PHCs) have been renovated, equipped and staffed, ensuring better healthcare delivery in remote areas. Dr. </w:t>
      </w:r>
      <w:proofErr w:type="spellStart"/>
      <w:r w:rsidRPr="00244B5B">
        <w:rPr>
          <w:rFonts w:ascii="Times New Roman" w:eastAsia="Times New Roman" w:hAnsi="Times New Roman" w:cs="Times New Roman"/>
          <w:sz w:val="24"/>
          <w:szCs w:val="24"/>
        </w:rPr>
        <w:t>Sulaiman</w:t>
      </w:r>
      <w:proofErr w:type="spellEnd"/>
      <w:r w:rsidRPr="00244B5B">
        <w:rPr>
          <w:rFonts w:ascii="Times New Roman" w:eastAsia="Times New Roman" w:hAnsi="Times New Roman" w:cs="Times New Roman"/>
          <w:sz w:val="24"/>
          <w:szCs w:val="24"/>
        </w:rPr>
        <w:t xml:space="preserve"> upgraded facilities now provide essential services such as immunization, maternal and child health, and treatment for common illnesses. Also championed vaccination campaigns, leading to increased immunization rates against polio, measles, and other preventable diseases.</w:t>
      </w:r>
    </w:p>
    <w:p w:rsidR="00244B5B" w:rsidRPr="00244B5B" w:rsidRDefault="00244B5B" w:rsidP="00244B5B">
      <w:p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xml:space="preserve">Dr. </w:t>
      </w:r>
      <w:proofErr w:type="spellStart"/>
      <w:r w:rsidRPr="00244B5B">
        <w:rPr>
          <w:rFonts w:ascii="Times New Roman" w:eastAsia="Times New Roman" w:hAnsi="Times New Roman" w:cs="Times New Roman"/>
          <w:sz w:val="24"/>
          <w:szCs w:val="24"/>
        </w:rPr>
        <w:t>Sulaiman</w:t>
      </w:r>
      <w:proofErr w:type="spellEnd"/>
      <w:r w:rsidRPr="00244B5B">
        <w:rPr>
          <w:rFonts w:ascii="Times New Roman" w:eastAsia="Times New Roman" w:hAnsi="Times New Roman" w:cs="Times New Roman"/>
          <w:sz w:val="24"/>
          <w:szCs w:val="24"/>
        </w:rPr>
        <w:t xml:space="preserve"> strengthened partnerships with international organizations like WHO, UNICEF, IOM and ICRC </w:t>
      </w:r>
      <w:proofErr w:type="spellStart"/>
      <w:r w:rsidRPr="00244B5B">
        <w:rPr>
          <w:rFonts w:ascii="Times New Roman" w:eastAsia="Times New Roman" w:hAnsi="Times New Roman" w:cs="Times New Roman"/>
          <w:sz w:val="24"/>
          <w:szCs w:val="24"/>
        </w:rPr>
        <w:t>etc</w:t>
      </w:r>
      <w:proofErr w:type="spellEnd"/>
      <w:r w:rsidRPr="00244B5B">
        <w:rPr>
          <w:rFonts w:ascii="Times New Roman" w:eastAsia="Times New Roman" w:hAnsi="Times New Roman" w:cs="Times New Roman"/>
          <w:sz w:val="24"/>
          <w:szCs w:val="24"/>
        </w:rPr>
        <w:t xml:space="preserve"> to sustain immunization programs.</w:t>
      </w:r>
    </w:p>
    <w:p w:rsidR="00244B5B" w:rsidRPr="00244B5B" w:rsidRDefault="00244B5B" w:rsidP="00244B5B">
      <w:p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xml:space="preserve">Dr. </w:t>
      </w:r>
      <w:proofErr w:type="spellStart"/>
      <w:r w:rsidRPr="00244B5B">
        <w:rPr>
          <w:rFonts w:ascii="Times New Roman" w:eastAsia="Times New Roman" w:hAnsi="Times New Roman" w:cs="Times New Roman"/>
          <w:sz w:val="24"/>
          <w:szCs w:val="24"/>
        </w:rPr>
        <w:t>Sulaiman</w:t>
      </w:r>
      <w:proofErr w:type="spellEnd"/>
      <w:r w:rsidRPr="00244B5B">
        <w:rPr>
          <w:rFonts w:ascii="Times New Roman" w:eastAsia="Times New Roman" w:hAnsi="Times New Roman" w:cs="Times New Roman"/>
          <w:sz w:val="24"/>
          <w:szCs w:val="24"/>
        </w:rPr>
        <w:t xml:space="preserve"> administration also put more effort on Maternal and Child Health Interventions:</w:t>
      </w:r>
    </w:p>
    <w:p w:rsidR="00244B5B" w:rsidRPr="00244B5B" w:rsidRDefault="00244B5B" w:rsidP="00244B5B">
      <w:p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Enhanced antenatal and postnatal care services, reducing maternal and infant mortality rates.</w:t>
      </w:r>
    </w:p>
    <w:p w:rsidR="00244B5B" w:rsidRPr="00244B5B" w:rsidRDefault="00244B5B" w:rsidP="00244B5B">
      <w:p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Promoted community health programs to educate women on safe delivery practices and nutrition.</w:t>
      </w:r>
    </w:p>
    <w:p w:rsidR="00244B5B" w:rsidRPr="00244B5B" w:rsidRDefault="00244B5B" w:rsidP="00244B5B">
      <w:p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xml:space="preserve">Dr. </w:t>
      </w:r>
      <w:proofErr w:type="spellStart"/>
      <w:r w:rsidRPr="00244B5B">
        <w:rPr>
          <w:rFonts w:ascii="Times New Roman" w:eastAsia="Times New Roman" w:hAnsi="Times New Roman" w:cs="Times New Roman"/>
          <w:sz w:val="24"/>
          <w:szCs w:val="24"/>
        </w:rPr>
        <w:t>Sulaiman</w:t>
      </w:r>
      <w:proofErr w:type="spellEnd"/>
      <w:r w:rsidRPr="00244B5B">
        <w:rPr>
          <w:rFonts w:ascii="Times New Roman" w:eastAsia="Times New Roman" w:hAnsi="Times New Roman" w:cs="Times New Roman"/>
          <w:sz w:val="24"/>
          <w:szCs w:val="24"/>
        </w:rPr>
        <w:t xml:space="preserve"> strengthened community health workforce by training and deploying Community Health Workers to hard-to-reach areas, ensuring regular supervision and capacity building for healthcare providers. He played a critical role in coordinating healthcare responses during disease outbreaks, ensuring availability of medical supplies and rapid response teams.</w:t>
      </w:r>
    </w:p>
    <w:p w:rsidR="00244B5B" w:rsidRPr="00244B5B" w:rsidRDefault="00244B5B" w:rsidP="00244B5B">
      <w:p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xml:space="preserve">Dr. </w:t>
      </w:r>
      <w:proofErr w:type="spellStart"/>
      <w:r w:rsidRPr="00244B5B">
        <w:rPr>
          <w:rFonts w:ascii="Times New Roman" w:eastAsia="Times New Roman" w:hAnsi="Times New Roman" w:cs="Times New Roman"/>
          <w:sz w:val="24"/>
          <w:szCs w:val="24"/>
        </w:rPr>
        <w:t>Sulaiman</w:t>
      </w:r>
      <w:proofErr w:type="spellEnd"/>
      <w:r w:rsidRPr="00244B5B">
        <w:rPr>
          <w:rFonts w:ascii="Times New Roman" w:eastAsia="Times New Roman" w:hAnsi="Times New Roman" w:cs="Times New Roman"/>
          <w:sz w:val="24"/>
          <w:szCs w:val="24"/>
        </w:rPr>
        <w:t xml:space="preserve"> secured donor support and government funding for primary healthcare programs, collaborating with NGOs and development partners to implement health interventions. His outstanding performance earned recognition from state and national health bodies, as well as commendations from development partners.</w:t>
      </w:r>
    </w:p>
    <w:p w:rsidR="00244B5B" w:rsidRPr="00244B5B" w:rsidRDefault="00244B5B" w:rsidP="00244B5B">
      <w:p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xml:space="preserve">Dr. </w:t>
      </w:r>
      <w:proofErr w:type="spellStart"/>
      <w:r w:rsidRPr="00244B5B">
        <w:rPr>
          <w:rFonts w:ascii="Times New Roman" w:eastAsia="Times New Roman" w:hAnsi="Times New Roman" w:cs="Times New Roman"/>
          <w:sz w:val="24"/>
          <w:szCs w:val="24"/>
        </w:rPr>
        <w:t>Sulaiman's</w:t>
      </w:r>
      <w:proofErr w:type="spellEnd"/>
      <w:r w:rsidRPr="00244B5B">
        <w:rPr>
          <w:rFonts w:ascii="Times New Roman" w:eastAsia="Times New Roman" w:hAnsi="Times New Roman" w:cs="Times New Roman"/>
          <w:sz w:val="24"/>
          <w:szCs w:val="24"/>
        </w:rPr>
        <w:t xml:space="preserve"> leadership transformed Adamawa's primary healthcare system, ensuring marginalized communities receive essential medical services, driving progress toward universal health coverage.</w:t>
      </w:r>
    </w:p>
    <w:p w:rsidR="00244B5B" w:rsidRPr="00244B5B" w:rsidRDefault="00244B5B" w:rsidP="00244B5B">
      <w:p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p w:rsidR="00244B5B" w:rsidRPr="00244B5B" w:rsidRDefault="00244B5B" w:rsidP="00244B5B">
      <w:p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Signed:</w:t>
      </w:r>
    </w:p>
    <w:p w:rsidR="00244B5B" w:rsidRPr="00244B5B" w:rsidRDefault="00244B5B" w:rsidP="00244B5B">
      <w:pPr>
        <w:spacing w:before="100" w:beforeAutospacing="1" w:after="100" w:afterAutospacing="1" w:line="240" w:lineRule="auto"/>
        <w:rPr>
          <w:rFonts w:ascii="Times New Roman" w:eastAsia="Times New Roman" w:hAnsi="Times New Roman" w:cs="Times New Roman"/>
          <w:sz w:val="24"/>
          <w:szCs w:val="24"/>
        </w:rPr>
      </w:pPr>
      <w:proofErr w:type="spellStart"/>
      <w:r w:rsidRPr="00244B5B">
        <w:rPr>
          <w:rFonts w:ascii="Times New Roman" w:eastAsia="Times New Roman" w:hAnsi="Times New Roman" w:cs="Times New Roman"/>
          <w:sz w:val="24"/>
          <w:szCs w:val="24"/>
        </w:rPr>
        <w:t>Abdulmajid</w:t>
      </w:r>
      <w:proofErr w:type="spellEnd"/>
      <w:r w:rsidRPr="00244B5B">
        <w:rPr>
          <w:rFonts w:ascii="Times New Roman" w:eastAsia="Times New Roman" w:hAnsi="Times New Roman" w:cs="Times New Roman"/>
          <w:sz w:val="24"/>
          <w:szCs w:val="24"/>
        </w:rPr>
        <w:t> </w:t>
      </w:r>
      <w:proofErr w:type="spellStart"/>
      <w:r w:rsidRPr="00244B5B">
        <w:rPr>
          <w:rFonts w:ascii="Times New Roman" w:eastAsia="Times New Roman" w:hAnsi="Times New Roman" w:cs="Times New Roman"/>
          <w:sz w:val="24"/>
          <w:szCs w:val="24"/>
        </w:rPr>
        <w:t>Abdullahi</w:t>
      </w:r>
      <w:proofErr w:type="spellEnd"/>
    </w:p>
    <w:p w:rsidR="00244B5B" w:rsidRPr="00244B5B" w:rsidRDefault="00244B5B" w:rsidP="00244B5B">
      <w:p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lastRenderedPageBreak/>
        <w:t> </w:t>
      </w:r>
    </w:p>
    <w:p w:rsidR="00244B5B" w:rsidRPr="00244B5B" w:rsidRDefault="00244B5B" w:rsidP="00244B5B">
      <w:p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p w:rsidR="00244B5B" w:rsidRPr="00244B5B" w:rsidRDefault="00244B5B" w:rsidP="00244B5B">
      <w:p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bl>
      <w:tblPr>
        <w:tblW w:w="10350" w:type="dxa"/>
        <w:tblCellSpacing w:w="15" w:type="dxa"/>
        <w:tblInd w:w="-810" w:type="dxa"/>
        <w:tblCellMar>
          <w:top w:w="15" w:type="dxa"/>
          <w:left w:w="15" w:type="dxa"/>
          <w:bottom w:w="15" w:type="dxa"/>
          <w:right w:w="15" w:type="dxa"/>
        </w:tblCellMar>
        <w:tblLook w:val="04A0" w:firstRow="1" w:lastRow="0" w:firstColumn="1" w:lastColumn="0" w:noHBand="0" w:noVBand="1"/>
      </w:tblPr>
      <w:tblGrid>
        <w:gridCol w:w="642"/>
        <w:gridCol w:w="1984"/>
        <w:gridCol w:w="2547"/>
        <w:gridCol w:w="2166"/>
        <w:gridCol w:w="1879"/>
        <w:gridCol w:w="1018"/>
        <w:gridCol w:w="114"/>
      </w:tblGrid>
      <w:tr w:rsidR="00244B5B" w:rsidRPr="00244B5B" w:rsidTr="00244B5B">
        <w:trPr>
          <w:tblCellSpacing w:w="15" w:type="dxa"/>
        </w:trPr>
        <w:tc>
          <w:tcPr>
            <w:tcW w:w="59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8546" w:type="dxa"/>
            <w:gridSpan w:val="4"/>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bookmarkStart w:id="0" w:name="_GoBack"/>
            <w:r w:rsidRPr="00244B5B">
              <w:rPr>
                <w:rFonts w:ascii="Times New Roman" w:eastAsia="Times New Roman" w:hAnsi="Times New Roman" w:cs="Times New Roman"/>
                <w:b/>
                <w:bCs/>
                <w:sz w:val="24"/>
                <w:szCs w:val="24"/>
              </w:rPr>
              <w:t>Adamawa State Health Sector Scorecard 2024</w:t>
            </w:r>
            <w:bookmarkEnd w:id="0"/>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b/>
                <w:bCs/>
                <w:sz w:val="24"/>
                <w:szCs w:val="24"/>
              </w:rPr>
              <w:t>S/N</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b/>
                <w:bCs/>
                <w:sz w:val="24"/>
                <w:szCs w:val="24"/>
              </w:rPr>
              <w:t>Category</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b/>
                <w:bCs/>
                <w:sz w:val="24"/>
                <w:szCs w:val="24"/>
              </w:rPr>
              <w:t>Initiative / Project</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b/>
                <w:bCs/>
                <w:sz w:val="24"/>
                <w:szCs w:val="24"/>
              </w:rPr>
              <w:t>Location(s)</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b/>
                <w:bCs/>
                <w:sz w:val="24"/>
                <w:szCs w:val="24"/>
              </w:rPr>
              <w:t>Status</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1</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Health Infrastructure</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Construction of 60-bed Cottage Hospitals</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proofErr w:type="spellStart"/>
            <w:r w:rsidRPr="00244B5B">
              <w:rPr>
                <w:rFonts w:ascii="Times New Roman" w:eastAsia="Times New Roman" w:hAnsi="Times New Roman" w:cs="Times New Roman"/>
                <w:sz w:val="24"/>
                <w:szCs w:val="24"/>
              </w:rPr>
              <w:t>Shelleng</w:t>
            </w:r>
            <w:proofErr w:type="spellEnd"/>
            <w:r w:rsidRPr="00244B5B">
              <w:rPr>
                <w:rFonts w:ascii="Times New Roman" w:eastAsia="Times New Roman" w:hAnsi="Times New Roman" w:cs="Times New Roman"/>
                <w:sz w:val="24"/>
                <w:szCs w:val="24"/>
              </w:rPr>
              <w:t xml:space="preserve">, </w:t>
            </w:r>
            <w:proofErr w:type="spellStart"/>
            <w:r w:rsidRPr="00244B5B">
              <w:rPr>
                <w:rFonts w:ascii="Times New Roman" w:eastAsia="Times New Roman" w:hAnsi="Times New Roman" w:cs="Times New Roman"/>
                <w:sz w:val="24"/>
                <w:szCs w:val="24"/>
              </w:rPr>
              <w:t>Lamurde</w:t>
            </w:r>
            <w:proofErr w:type="spellEnd"/>
            <w:r w:rsidRPr="00244B5B">
              <w:rPr>
                <w:rFonts w:ascii="Times New Roman" w:eastAsia="Times New Roman" w:hAnsi="Times New Roman" w:cs="Times New Roman"/>
                <w:sz w:val="24"/>
                <w:szCs w:val="24"/>
              </w:rPr>
              <w:t xml:space="preserve">, Demas, </w:t>
            </w:r>
            <w:proofErr w:type="spellStart"/>
            <w:r w:rsidRPr="00244B5B">
              <w:rPr>
                <w:rFonts w:ascii="Times New Roman" w:eastAsia="Times New Roman" w:hAnsi="Times New Roman" w:cs="Times New Roman"/>
                <w:sz w:val="24"/>
                <w:szCs w:val="24"/>
              </w:rPr>
              <w:t>Girei</w:t>
            </w:r>
            <w:proofErr w:type="spellEnd"/>
            <w:r w:rsidRPr="00244B5B">
              <w:rPr>
                <w:rFonts w:ascii="Times New Roman" w:eastAsia="Times New Roman" w:hAnsi="Times New Roman" w:cs="Times New Roman"/>
                <w:sz w:val="24"/>
                <w:szCs w:val="24"/>
              </w:rPr>
              <w:t xml:space="preserve">, </w:t>
            </w:r>
            <w:proofErr w:type="spellStart"/>
            <w:r w:rsidRPr="00244B5B">
              <w:rPr>
                <w:rFonts w:ascii="Times New Roman" w:eastAsia="Times New Roman" w:hAnsi="Times New Roman" w:cs="Times New Roman"/>
                <w:sz w:val="24"/>
                <w:szCs w:val="24"/>
              </w:rPr>
              <w:t>Gombi</w:t>
            </w:r>
            <w:proofErr w:type="spellEnd"/>
            <w:r w:rsidRPr="00244B5B">
              <w:rPr>
                <w:rFonts w:ascii="Times New Roman" w:eastAsia="Times New Roman" w:hAnsi="Times New Roman" w:cs="Times New Roman"/>
                <w:sz w:val="24"/>
                <w:szCs w:val="24"/>
              </w:rPr>
              <w:t xml:space="preserve">, </w:t>
            </w:r>
            <w:proofErr w:type="spellStart"/>
            <w:r w:rsidRPr="00244B5B">
              <w:rPr>
                <w:rFonts w:ascii="Times New Roman" w:eastAsia="Times New Roman" w:hAnsi="Times New Roman" w:cs="Times New Roman"/>
                <w:sz w:val="24"/>
                <w:szCs w:val="24"/>
              </w:rPr>
              <w:t>Fufore</w:t>
            </w:r>
            <w:proofErr w:type="spellEnd"/>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2</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Commissioning of Cottage Hospitals</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proofErr w:type="spellStart"/>
            <w:r w:rsidRPr="00244B5B">
              <w:rPr>
                <w:rFonts w:ascii="Times New Roman" w:eastAsia="Times New Roman" w:hAnsi="Times New Roman" w:cs="Times New Roman"/>
                <w:sz w:val="24"/>
                <w:szCs w:val="24"/>
              </w:rPr>
              <w:t>Demsa</w:t>
            </w:r>
            <w:proofErr w:type="spellEnd"/>
            <w:r w:rsidRPr="00244B5B">
              <w:rPr>
                <w:rFonts w:ascii="Times New Roman" w:eastAsia="Times New Roman" w:hAnsi="Times New Roman" w:cs="Times New Roman"/>
                <w:sz w:val="24"/>
                <w:szCs w:val="24"/>
              </w:rPr>
              <w:t xml:space="preserve">, </w:t>
            </w:r>
            <w:proofErr w:type="spellStart"/>
            <w:r w:rsidRPr="00244B5B">
              <w:rPr>
                <w:rFonts w:ascii="Times New Roman" w:eastAsia="Times New Roman" w:hAnsi="Times New Roman" w:cs="Times New Roman"/>
                <w:sz w:val="24"/>
                <w:szCs w:val="24"/>
              </w:rPr>
              <w:t>Girei</w:t>
            </w:r>
            <w:proofErr w:type="spellEnd"/>
            <w:r w:rsidRPr="00244B5B">
              <w:rPr>
                <w:rFonts w:ascii="Times New Roman" w:eastAsia="Times New Roman" w:hAnsi="Times New Roman" w:cs="Times New Roman"/>
                <w:sz w:val="24"/>
                <w:szCs w:val="24"/>
              </w:rPr>
              <w:t xml:space="preserve">, </w:t>
            </w:r>
            <w:proofErr w:type="spellStart"/>
            <w:r w:rsidRPr="00244B5B">
              <w:rPr>
                <w:rFonts w:ascii="Times New Roman" w:eastAsia="Times New Roman" w:hAnsi="Times New Roman" w:cs="Times New Roman"/>
                <w:sz w:val="24"/>
                <w:szCs w:val="24"/>
              </w:rPr>
              <w:t>Shelleng</w:t>
            </w:r>
            <w:proofErr w:type="spellEnd"/>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3</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Upgrade of Numan General Hospital</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Numan</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4</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xml:space="preserve">Upgrade of </w:t>
            </w:r>
            <w:proofErr w:type="spellStart"/>
            <w:r w:rsidRPr="00244B5B">
              <w:rPr>
                <w:rFonts w:ascii="Times New Roman" w:eastAsia="Times New Roman" w:hAnsi="Times New Roman" w:cs="Times New Roman"/>
                <w:sz w:val="24"/>
                <w:szCs w:val="24"/>
              </w:rPr>
              <w:t>Mubi</w:t>
            </w:r>
            <w:proofErr w:type="spellEnd"/>
            <w:r w:rsidRPr="00244B5B">
              <w:rPr>
                <w:rFonts w:ascii="Times New Roman" w:eastAsia="Times New Roman" w:hAnsi="Times New Roman" w:cs="Times New Roman"/>
                <w:sz w:val="24"/>
                <w:szCs w:val="24"/>
              </w:rPr>
              <w:t xml:space="preserve"> General Hospital</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proofErr w:type="spellStart"/>
            <w:r w:rsidRPr="00244B5B">
              <w:rPr>
                <w:rFonts w:ascii="Times New Roman" w:eastAsia="Times New Roman" w:hAnsi="Times New Roman" w:cs="Times New Roman"/>
                <w:sz w:val="24"/>
                <w:szCs w:val="24"/>
              </w:rPr>
              <w:t>Mubi</w:t>
            </w:r>
            <w:proofErr w:type="spellEnd"/>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5</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xml:space="preserve">Upgrade of </w:t>
            </w:r>
            <w:proofErr w:type="spellStart"/>
            <w:r w:rsidRPr="00244B5B">
              <w:rPr>
                <w:rFonts w:ascii="Times New Roman" w:eastAsia="Times New Roman" w:hAnsi="Times New Roman" w:cs="Times New Roman"/>
                <w:sz w:val="24"/>
                <w:szCs w:val="24"/>
              </w:rPr>
              <w:t>Ganye</w:t>
            </w:r>
            <w:proofErr w:type="spellEnd"/>
            <w:r w:rsidRPr="00244B5B">
              <w:rPr>
                <w:rFonts w:ascii="Times New Roman" w:eastAsia="Times New Roman" w:hAnsi="Times New Roman" w:cs="Times New Roman"/>
                <w:sz w:val="24"/>
                <w:szCs w:val="24"/>
              </w:rPr>
              <w:t xml:space="preserve"> General Hospital</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proofErr w:type="spellStart"/>
            <w:r w:rsidRPr="00244B5B">
              <w:rPr>
                <w:rFonts w:ascii="Times New Roman" w:eastAsia="Times New Roman" w:hAnsi="Times New Roman" w:cs="Times New Roman"/>
                <w:sz w:val="24"/>
                <w:szCs w:val="24"/>
              </w:rPr>
              <w:t>Ganye</w:t>
            </w:r>
            <w:proofErr w:type="spellEnd"/>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6</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xml:space="preserve">Upgrade of Song and </w:t>
            </w:r>
            <w:proofErr w:type="spellStart"/>
            <w:r w:rsidRPr="00244B5B">
              <w:rPr>
                <w:rFonts w:ascii="Times New Roman" w:eastAsia="Times New Roman" w:hAnsi="Times New Roman" w:cs="Times New Roman"/>
                <w:sz w:val="24"/>
                <w:szCs w:val="24"/>
              </w:rPr>
              <w:t>Dumne</w:t>
            </w:r>
            <w:proofErr w:type="spellEnd"/>
            <w:r w:rsidRPr="00244B5B">
              <w:rPr>
                <w:rFonts w:ascii="Times New Roman" w:eastAsia="Times New Roman" w:hAnsi="Times New Roman" w:cs="Times New Roman"/>
                <w:sz w:val="24"/>
                <w:szCs w:val="24"/>
              </w:rPr>
              <w:t xml:space="preserve"> Cottage Hospitals</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xml:space="preserve">Song, </w:t>
            </w:r>
            <w:proofErr w:type="spellStart"/>
            <w:r w:rsidRPr="00244B5B">
              <w:rPr>
                <w:rFonts w:ascii="Times New Roman" w:eastAsia="Times New Roman" w:hAnsi="Times New Roman" w:cs="Times New Roman"/>
                <w:sz w:val="24"/>
                <w:szCs w:val="24"/>
              </w:rPr>
              <w:t>Dumne</w:t>
            </w:r>
            <w:proofErr w:type="spellEnd"/>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7</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Upgrade of Mayo-</w:t>
            </w:r>
            <w:proofErr w:type="spellStart"/>
            <w:r w:rsidRPr="00244B5B">
              <w:rPr>
                <w:rFonts w:ascii="Times New Roman" w:eastAsia="Times New Roman" w:hAnsi="Times New Roman" w:cs="Times New Roman"/>
                <w:sz w:val="24"/>
                <w:szCs w:val="24"/>
              </w:rPr>
              <w:t>Belwa</w:t>
            </w:r>
            <w:proofErr w:type="spellEnd"/>
            <w:r w:rsidRPr="00244B5B">
              <w:rPr>
                <w:rFonts w:ascii="Times New Roman" w:eastAsia="Times New Roman" w:hAnsi="Times New Roman" w:cs="Times New Roman"/>
                <w:sz w:val="24"/>
                <w:szCs w:val="24"/>
              </w:rPr>
              <w:t xml:space="preserve"> Cottage to General Hospital</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Mayo-</w:t>
            </w:r>
            <w:proofErr w:type="spellStart"/>
            <w:r w:rsidRPr="00244B5B">
              <w:rPr>
                <w:rFonts w:ascii="Times New Roman" w:eastAsia="Times New Roman" w:hAnsi="Times New Roman" w:cs="Times New Roman"/>
                <w:sz w:val="24"/>
                <w:szCs w:val="24"/>
              </w:rPr>
              <w:t>Belwa</w:t>
            </w:r>
            <w:proofErr w:type="spellEnd"/>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8</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Upgrade of Gulak General Hospital</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Gulak</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9</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xml:space="preserve">Renovation of </w:t>
            </w:r>
            <w:proofErr w:type="spellStart"/>
            <w:r w:rsidRPr="00244B5B">
              <w:rPr>
                <w:rFonts w:ascii="Times New Roman" w:eastAsia="Times New Roman" w:hAnsi="Times New Roman" w:cs="Times New Roman"/>
                <w:sz w:val="24"/>
                <w:szCs w:val="24"/>
              </w:rPr>
              <w:t>Garkida</w:t>
            </w:r>
            <w:proofErr w:type="spellEnd"/>
            <w:r w:rsidRPr="00244B5B">
              <w:rPr>
                <w:rFonts w:ascii="Times New Roman" w:eastAsia="Times New Roman" w:hAnsi="Times New Roman" w:cs="Times New Roman"/>
                <w:sz w:val="24"/>
                <w:szCs w:val="24"/>
              </w:rPr>
              <w:t xml:space="preserve"> General Hospital</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proofErr w:type="spellStart"/>
            <w:r w:rsidRPr="00244B5B">
              <w:rPr>
                <w:rFonts w:ascii="Times New Roman" w:eastAsia="Times New Roman" w:hAnsi="Times New Roman" w:cs="Times New Roman"/>
                <w:sz w:val="24"/>
                <w:szCs w:val="24"/>
              </w:rPr>
              <w:t>Garkida</w:t>
            </w:r>
            <w:proofErr w:type="spellEnd"/>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10</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Reconstruction of Mayo-</w:t>
            </w:r>
            <w:proofErr w:type="spellStart"/>
            <w:r w:rsidRPr="00244B5B">
              <w:rPr>
                <w:rFonts w:ascii="Times New Roman" w:eastAsia="Times New Roman" w:hAnsi="Times New Roman" w:cs="Times New Roman"/>
                <w:sz w:val="24"/>
                <w:szCs w:val="24"/>
              </w:rPr>
              <w:t>Belwa</w:t>
            </w:r>
            <w:proofErr w:type="spellEnd"/>
            <w:r w:rsidRPr="00244B5B">
              <w:rPr>
                <w:rFonts w:ascii="Times New Roman" w:eastAsia="Times New Roman" w:hAnsi="Times New Roman" w:cs="Times New Roman"/>
                <w:sz w:val="24"/>
                <w:szCs w:val="24"/>
              </w:rPr>
              <w:t xml:space="preserve"> Cottage Hospital</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Mayo-</w:t>
            </w:r>
            <w:proofErr w:type="spellStart"/>
            <w:r w:rsidRPr="00244B5B">
              <w:rPr>
                <w:rFonts w:ascii="Times New Roman" w:eastAsia="Times New Roman" w:hAnsi="Times New Roman" w:cs="Times New Roman"/>
                <w:sz w:val="24"/>
                <w:szCs w:val="24"/>
              </w:rPr>
              <w:t>Belwa</w:t>
            </w:r>
            <w:proofErr w:type="spellEnd"/>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Ongoing</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11</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Disease Outbreak Response</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Cholera Preparedness &amp; Response</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Statewide</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12</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Measles Vaccination Campaign</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proofErr w:type="spellStart"/>
            <w:r w:rsidRPr="00244B5B">
              <w:rPr>
                <w:rFonts w:ascii="Times New Roman" w:eastAsia="Times New Roman" w:hAnsi="Times New Roman" w:cs="Times New Roman"/>
                <w:sz w:val="24"/>
                <w:szCs w:val="24"/>
              </w:rPr>
              <w:t>Gombi</w:t>
            </w:r>
            <w:proofErr w:type="spellEnd"/>
            <w:r w:rsidRPr="00244B5B">
              <w:rPr>
                <w:rFonts w:ascii="Times New Roman" w:eastAsia="Times New Roman" w:hAnsi="Times New Roman" w:cs="Times New Roman"/>
                <w:sz w:val="24"/>
                <w:szCs w:val="24"/>
              </w:rPr>
              <w:t xml:space="preserve"> LGA, </w:t>
            </w:r>
            <w:proofErr w:type="spellStart"/>
            <w:r w:rsidRPr="00244B5B">
              <w:rPr>
                <w:rFonts w:ascii="Times New Roman" w:eastAsia="Times New Roman" w:hAnsi="Times New Roman" w:cs="Times New Roman"/>
                <w:sz w:val="24"/>
                <w:szCs w:val="24"/>
              </w:rPr>
              <w:t>Garwayel</w:t>
            </w:r>
            <w:proofErr w:type="spellEnd"/>
            <w:r w:rsidRPr="00244B5B">
              <w:rPr>
                <w:rFonts w:ascii="Times New Roman" w:eastAsia="Times New Roman" w:hAnsi="Times New Roman" w:cs="Times New Roman"/>
                <w:sz w:val="24"/>
                <w:szCs w:val="24"/>
              </w:rPr>
              <w:t xml:space="preserve"> Community</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13</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Human Resources</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Recruitment of Healthcare Workers</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Statewide</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14</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Service Delivery</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Distribution of Insecticide-Treated Nets</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Statewide</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15</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Seasonal Malaria Chemoprevention (SPAQ)</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Statewide</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lastRenderedPageBreak/>
              <w:t>16</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Antenatal Care (SP) Distribution</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Statewide</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17</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Malaria Rapid Diagnostic Test Kits</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Statewide</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18</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Hepatitis B Test Kits</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Statewide</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19</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Free Fistula Surgery Campaign</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Statewide</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20</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Free Hypertension &amp; Diabetes Campaign</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Statewide</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8546" w:type="dxa"/>
            <w:gridSpan w:val="4"/>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b/>
                <w:bCs/>
                <w:sz w:val="24"/>
                <w:szCs w:val="24"/>
              </w:rPr>
              <w:t>Specialist Hospital, Yola - Infrastructure Development Scorecard</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b/>
                <w:bCs/>
                <w:sz w:val="24"/>
                <w:szCs w:val="24"/>
              </w:rPr>
              <w:t>Category</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b/>
                <w:bCs/>
                <w:sz w:val="24"/>
                <w:szCs w:val="24"/>
              </w:rPr>
              <w:t>Initiative / Project</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b/>
                <w:bCs/>
                <w:sz w:val="24"/>
                <w:szCs w:val="24"/>
              </w:rPr>
              <w:t>Location</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b/>
                <w:bCs/>
                <w:sz w:val="24"/>
                <w:szCs w:val="24"/>
              </w:rPr>
              <w:t>Status</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21</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Infrastructure</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 renovation of OPD complex facilities</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Specialist Hospital, Yola</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22</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Infrastructure</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Construction of WHO standard Infectious Disease Center</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Specialist Hospital, Yola</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23</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Infrastructure</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Construction of WHO standard public health laboratory complex</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Specialist Hospital, Yola</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24</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Infrastructure</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Construction of standard dialysis center</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Specialist Hospital, Yola</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25</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Infrastructure</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Renovation of patients wards</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Specialist Hospital, Yola</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26</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Infrastructure</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 Landscaping and water reticulation system</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Specialist Hospital, Yola</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27</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Infrastructure</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Deployment and installation of solar powered street lighting</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Specialist Hospital, Yola</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28</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Infrastructure</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Deployment and Installation of 94 KVA capacity solar system</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Specialist Hospital, Yola</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29</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Equipment</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Procurement and installation of equipment to Laboratory Department</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Specialist Hospital, Yola</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30</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Equipment</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Procurement and installation of equipment to Theater</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Specialist Hospital, Yola</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31</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Equipment</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Procurement and installation of equipment to Special Baby Care Unit</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Specialist Hospital, Yola</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lastRenderedPageBreak/>
              <w:t>32</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Equipment</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Procurement and installation of equipment to Maternity Complex</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Specialist Hospital, Yola</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33</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Equipment</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Procurement and installation of operating microscopes in eye center theatre</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Specialist Hospital, Yola</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34</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Equipment</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Procurement and installation of angiography machine</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Specialist Hospital, Yola</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35</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Equipment</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Procurement and installation of Air-conditioners in all patient wards (former German Medical Center)</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Specialist Hospital, Yola</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36</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Equipment</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Procurement of two additional new dental chairs</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Specialist Hospital, Yola</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37</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Infrastructure</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Expansion of accident and emergency center with 20 additional bed capacity</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Specialist Hospital, Yola</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r>
      <w:tr w:rsidR="00244B5B" w:rsidRPr="00244B5B" w:rsidTr="00244B5B">
        <w:trPr>
          <w:gridAfter w:val="1"/>
          <w:wAfter w:w="69" w:type="dxa"/>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9564" w:type="dxa"/>
            <w:gridSpan w:val="5"/>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b/>
                <w:bCs/>
                <w:sz w:val="24"/>
                <w:szCs w:val="24"/>
              </w:rPr>
              <w:t>Adamawa State Health Sector Scorecard 2024</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b/>
                <w:bCs/>
                <w:sz w:val="24"/>
                <w:szCs w:val="24"/>
              </w:rPr>
              <w:t>Agency/Institution</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b/>
                <w:bCs/>
                <w:sz w:val="24"/>
                <w:szCs w:val="24"/>
              </w:rPr>
              <w:t>Category</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b/>
                <w:bCs/>
                <w:sz w:val="24"/>
                <w:szCs w:val="24"/>
              </w:rPr>
              <w:t>Initiative/Project</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b/>
                <w:bCs/>
                <w:sz w:val="24"/>
                <w:szCs w:val="24"/>
              </w:rPr>
              <w:t>Details/Metrics</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b/>
                <w:bCs/>
                <w:sz w:val="24"/>
                <w:szCs w:val="24"/>
              </w:rPr>
              <w:t>Status</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23</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Adamawa State Contributory Health Management Agency (ASCHMA)</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Infrastructure</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 renovation of corporate office</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Conducive environment for workforce</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24</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Establishment of 24 hours call center</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Support enrollees inquiries</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25</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Deployment and installation of ICT infrastructure</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Facilitate client enrolment</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26</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Deployment and installation of 10 KVA solar system</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27</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Service Delivery</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Accreditation of healthcare providers</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48 providers for formal sector</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28</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Accreditation of PHCs</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226 PHCs for BHCPF enrollees</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lastRenderedPageBreak/>
              <w:t>29</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Recruitment of personnel</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xml:space="preserve">61 M&amp;E officers on </w:t>
            </w:r>
            <w:proofErr w:type="spellStart"/>
            <w:r w:rsidRPr="00244B5B">
              <w:rPr>
                <w:rFonts w:ascii="Times New Roman" w:eastAsia="Times New Roman" w:hAnsi="Times New Roman" w:cs="Times New Roman"/>
                <w:sz w:val="24"/>
                <w:szCs w:val="24"/>
              </w:rPr>
              <w:t>adhoc</w:t>
            </w:r>
            <w:proofErr w:type="spellEnd"/>
            <w:r w:rsidRPr="00244B5B">
              <w:rPr>
                <w:rFonts w:ascii="Times New Roman" w:eastAsia="Times New Roman" w:hAnsi="Times New Roman" w:cs="Times New Roman"/>
                <w:sz w:val="24"/>
                <w:szCs w:val="24"/>
              </w:rPr>
              <w:t xml:space="preserve"> basis</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30</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Enrollment</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IDPs enrollment</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18,000 persons</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31</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Formal sector enrollment</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72,870 civil servants &amp; dependents</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32</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BHCPF enrollment</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95,769 persons</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33</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Funding</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Counterpart funding (2021-2024)</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₦598,006,982.00 total</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34</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Performance</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Key statistics</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95% enrollment target, 79% healthcare access increase, 74% out-of-pocket reduction, 91% satisfaction rate</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Achieved</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35</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Primary Health Care</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Service Delivery</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Procurement of ambulances</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Strengthen referral from PHC facilities</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36</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Distribution of safe delivery kits</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To pregnant women at 226 facilities</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37</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Restocking of drugs for CHIPS agents</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1,900 agents supported</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38</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School health services</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Sensitization and de-worming exercises</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39</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Cervical cancer screening</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2,000 women across 21 LGAs</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40</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Free treatment campaign</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Following fuel subsidy removal</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41</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Human Resources</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Recruitment of health workers</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1,113 skilled workers (1st batch)</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42</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Recruitment of health workers</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647 skilled workers (2nd batch)</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43</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Infrastructure</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Direct facility financing</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₦6.3m to 226 ward facilities</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44</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PHC revitalization</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80 PHC facilities (ongoing)</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Ongoing</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lastRenderedPageBreak/>
              <w:t>45</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School of Nursing and Midwifery, Yola</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Infrastructure</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Renovation of facilities</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Simulation labs, classrooms, hostels</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46</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Technology integration</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Electronic records, online learning</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47</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Academic</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Student enrollment</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50% increase over 2 years</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Achieved</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48</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Graduation rate</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95% in basic nursing and midwifery</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Achieved</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49</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Licensing exams</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90% pass rate</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Achieved</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50</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College of Health Technology, Michika</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Infrastructure</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Construction of training facilities</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12 classrooms &amp; toilets</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Ongoing</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51</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Installation of street lights</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60 pieces</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52</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Curriculum</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Enhanced curriculum</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7 courses meet NBTE accreditation</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53</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Staff</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Employment</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170 academic and non-academic staff</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54</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Adamawa State Health Supplies Management Agency (ADSHSUMA)</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Legal</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Transition from ASEDP to ADSHSUMA</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In line with FMOH strategic plan</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55</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ADSHSUMA Law 2024</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Passed and assented by Governor</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56</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Infrastructure</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Renovated warehouses</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proofErr w:type="spellStart"/>
            <w:r w:rsidRPr="00244B5B">
              <w:rPr>
                <w:rFonts w:ascii="Times New Roman" w:eastAsia="Times New Roman" w:hAnsi="Times New Roman" w:cs="Times New Roman"/>
                <w:sz w:val="24"/>
                <w:szCs w:val="24"/>
              </w:rPr>
              <w:t>Pharmagrade</w:t>
            </w:r>
            <w:proofErr w:type="spellEnd"/>
            <w:r w:rsidRPr="00244B5B">
              <w:rPr>
                <w:rFonts w:ascii="Times New Roman" w:eastAsia="Times New Roman" w:hAnsi="Times New Roman" w:cs="Times New Roman"/>
                <w:sz w:val="24"/>
                <w:szCs w:val="24"/>
              </w:rPr>
              <w:t xml:space="preserve"> facilities with racking systems</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57</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Global Fund grant</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Secured for supply chain capacity</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58</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Partnerships</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proofErr w:type="spellStart"/>
            <w:r w:rsidRPr="00244B5B">
              <w:rPr>
                <w:rFonts w:ascii="Times New Roman" w:eastAsia="Times New Roman" w:hAnsi="Times New Roman" w:cs="Times New Roman"/>
                <w:sz w:val="24"/>
                <w:szCs w:val="24"/>
              </w:rPr>
              <w:t>MoUs</w:t>
            </w:r>
            <w:proofErr w:type="spellEnd"/>
            <w:r w:rsidRPr="00244B5B">
              <w:rPr>
                <w:rFonts w:ascii="Times New Roman" w:eastAsia="Times New Roman" w:hAnsi="Times New Roman" w:cs="Times New Roman"/>
                <w:sz w:val="24"/>
                <w:szCs w:val="24"/>
              </w:rPr>
              <w:t xml:space="preserve"> with international organizations</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xml:space="preserve">IRC through USAID </w:t>
            </w:r>
            <w:proofErr w:type="spellStart"/>
            <w:r w:rsidRPr="00244B5B">
              <w:rPr>
                <w:rFonts w:ascii="Times New Roman" w:eastAsia="Times New Roman" w:hAnsi="Times New Roman" w:cs="Times New Roman"/>
                <w:sz w:val="24"/>
                <w:szCs w:val="24"/>
              </w:rPr>
              <w:t>HeRON</w:t>
            </w:r>
            <w:proofErr w:type="spellEnd"/>
            <w:r w:rsidRPr="00244B5B">
              <w:rPr>
                <w:rFonts w:ascii="Times New Roman" w:eastAsia="Times New Roman" w:hAnsi="Times New Roman" w:cs="Times New Roman"/>
                <w:sz w:val="24"/>
                <w:szCs w:val="24"/>
              </w:rPr>
              <w:t xml:space="preserve"> project</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59</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Drug Revolving Fund</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xml:space="preserve">49 PHC facilities </w:t>
            </w:r>
            <w:proofErr w:type="spellStart"/>
            <w:r w:rsidRPr="00244B5B">
              <w:rPr>
                <w:rFonts w:ascii="Times New Roman" w:eastAsia="Times New Roman" w:hAnsi="Times New Roman" w:cs="Times New Roman"/>
                <w:sz w:val="24"/>
                <w:szCs w:val="24"/>
              </w:rPr>
              <w:t>onboarded</w:t>
            </w:r>
            <w:proofErr w:type="spellEnd"/>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60</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xml:space="preserve">Adamawa State Agency for the </w:t>
            </w:r>
            <w:r w:rsidRPr="00244B5B">
              <w:rPr>
                <w:rFonts w:ascii="Times New Roman" w:eastAsia="Times New Roman" w:hAnsi="Times New Roman" w:cs="Times New Roman"/>
                <w:sz w:val="24"/>
                <w:szCs w:val="24"/>
              </w:rPr>
              <w:lastRenderedPageBreak/>
              <w:t>Control of HIV/AIDS</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lastRenderedPageBreak/>
              <w:t>Procurement</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Test kits procurement</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xml:space="preserve">36,000 HIV/Syphilis, </w:t>
            </w:r>
            <w:r w:rsidRPr="00244B5B">
              <w:rPr>
                <w:rFonts w:ascii="Times New Roman" w:eastAsia="Times New Roman" w:hAnsi="Times New Roman" w:cs="Times New Roman"/>
                <w:sz w:val="24"/>
                <w:szCs w:val="24"/>
              </w:rPr>
              <w:lastRenderedPageBreak/>
              <w:t>3,600 HBV, 3,600 HCV kits</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lastRenderedPageBreak/>
              <w:t>Completed</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lastRenderedPageBreak/>
              <w:t>61</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Support</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Distribution of essential items</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Refrigerators, sewing machines, grinding machines</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62</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Food supplies distribution</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Rice, noodles, spaghetti, macaroni, oil</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63</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Global Fund</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Vehicle procurement</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2 Toyota Hilux for SACP and STBLCP</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64</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Motorbikes distribution</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42 for TB/Leprosy supervisors</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65</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Traditional Medicine Board</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Regulation</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Standards development</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For traditional medicine practice</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66</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Registration system</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For practitioners</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67</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Capacity Building</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Training programs</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For traditional medicine practitioners</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68</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Quality Assurance</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Guidelines development</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Quality assurance and facility inspections</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69</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Community Engagement</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Awareness campaigns</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Public education on traditional medicine</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Completed</w:t>
            </w:r>
          </w:p>
        </w:tc>
      </w:tr>
      <w:tr w:rsidR="00244B5B" w:rsidRPr="00244B5B" w:rsidTr="00244B5B">
        <w:trPr>
          <w:tblCellSpacing w:w="15" w:type="dxa"/>
        </w:trPr>
        <w:tc>
          <w:tcPr>
            <w:tcW w:w="0" w:type="auto"/>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70</w:t>
            </w:r>
          </w:p>
        </w:tc>
        <w:tc>
          <w:tcPr>
            <w:tcW w:w="195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tc>
        <w:tc>
          <w:tcPr>
            <w:tcW w:w="2517"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Statistics</w:t>
            </w:r>
          </w:p>
        </w:tc>
        <w:tc>
          <w:tcPr>
            <w:tcW w:w="213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Performance metrics</w:t>
            </w:r>
          </w:p>
        </w:tc>
        <w:tc>
          <w:tcPr>
            <w:tcW w:w="1849"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80% practitioner registration increase, 90% patient satisfaction, 30% community engagement increase</w:t>
            </w:r>
          </w:p>
        </w:tc>
        <w:tc>
          <w:tcPr>
            <w:tcW w:w="1087" w:type="dxa"/>
            <w:gridSpan w:val="2"/>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Achieved</w:t>
            </w:r>
          </w:p>
        </w:tc>
      </w:tr>
    </w:tbl>
    <w:p w:rsidR="00244B5B" w:rsidRPr="00244B5B" w:rsidRDefault="00244B5B" w:rsidP="00244B5B">
      <w:p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b/>
          <w:bCs/>
          <w:sz w:val="24"/>
          <w:szCs w:val="24"/>
        </w:rPr>
        <w:t>ASCMAs Health Plans</w:t>
      </w:r>
    </w:p>
    <w:p w:rsidR="00244B5B" w:rsidRPr="00244B5B" w:rsidRDefault="00244B5B" w:rsidP="00244B5B">
      <w:p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ASCHMA currently operates four distinct health plans and three donor-supported initiatives that have expanded access to care across the state:</w:t>
      </w:r>
    </w:p>
    <w:p w:rsidR="00244B5B" w:rsidRPr="00244B5B" w:rsidRDefault="00244B5B" w:rsidP="00244B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b/>
          <w:bCs/>
          <w:sz w:val="24"/>
          <w:szCs w:val="24"/>
        </w:rPr>
        <w:t xml:space="preserve">Formal Sector Health Plan: </w:t>
      </w:r>
      <w:r w:rsidRPr="00244B5B">
        <w:rPr>
          <w:rFonts w:ascii="Times New Roman" w:eastAsia="Times New Roman" w:hAnsi="Times New Roman" w:cs="Times New Roman"/>
          <w:sz w:val="24"/>
          <w:szCs w:val="24"/>
        </w:rPr>
        <w:t>Covers civil servants and their families as well as organized private sector employees through payroll deductions and employer contributions.</w:t>
      </w:r>
      <w:r w:rsidRPr="00244B5B">
        <w:rPr>
          <w:rFonts w:ascii="Times New Roman" w:eastAsia="Times New Roman" w:hAnsi="Times New Roman" w:cs="Times New Roman"/>
          <w:sz w:val="24"/>
          <w:szCs w:val="24"/>
        </w:rPr>
        <w:br/>
      </w:r>
      <w:r w:rsidRPr="00244B5B">
        <w:rPr>
          <w:rFonts w:ascii="Times New Roman" w:eastAsia="Times New Roman" w:hAnsi="Times New Roman" w:cs="Times New Roman"/>
          <w:b/>
          <w:bCs/>
          <w:sz w:val="24"/>
          <w:szCs w:val="24"/>
        </w:rPr>
        <w:t>Current enrollees</w:t>
      </w:r>
      <w:r w:rsidRPr="00244B5B">
        <w:rPr>
          <w:rFonts w:ascii="Times New Roman" w:eastAsia="Times New Roman" w:hAnsi="Times New Roman" w:cs="Times New Roman"/>
          <w:sz w:val="24"/>
          <w:szCs w:val="24"/>
        </w:rPr>
        <w:t>: (79,673)</w:t>
      </w:r>
    </w:p>
    <w:p w:rsidR="00244B5B" w:rsidRPr="00244B5B" w:rsidRDefault="00244B5B" w:rsidP="00244B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b/>
          <w:bCs/>
          <w:sz w:val="24"/>
          <w:szCs w:val="24"/>
        </w:rPr>
        <w:lastRenderedPageBreak/>
        <w:t xml:space="preserve">Basic Health Care Provision Fund (BHCPF): </w:t>
      </w:r>
      <w:r w:rsidRPr="00244B5B">
        <w:rPr>
          <w:rFonts w:ascii="Times New Roman" w:eastAsia="Times New Roman" w:hAnsi="Times New Roman" w:cs="Times New Roman"/>
          <w:sz w:val="24"/>
          <w:szCs w:val="24"/>
        </w:rPr>
        <w:t>The BHCPF program targets poor and vulnerable populations with fully subsidized services under the national framework. The BHCPF operationalizes health financing through four gateways, including the National Health Insurance Authority (NHIA), the National Primary Health Care Development Agency (NPHCDA), the Emergency Medical Treatment (EMT) and the National Centre for Disease Control (NCDC), to support states in strengthening primary and secondary care service</w:t>
      </w:r>
      <w:r w:rsidRPr="00244B5B">
        <w:rPr>
          <w:rFonts w:ascii="Times New Roman" w:eastAsia="Times New Roman" w:hAnsi="Times New Roman" w:cs="Times New Roman"/>
          <w:sz w:val="24"/>
          <w:szCs w:val="24"/>
        </w:rPr>
        <w:br/>
      </w:r>
      <w:r w:rsidRPr="00244B5B">
        <w:rPr>
          <w:rFonts w:ascii="Times New Roman" w:eastAsia="Times New Roman" w:hAnsi="Times New Roman" w:cs="Times New Roman"/>
          <w:b/>
          <w:bCs/>
          <w:sz w:val="24"/>
          <w:szCs w:val="24"/>
        </w:rPr>
        <w:t>Current enrollees</w:t>
      </w:r>
      <w:r w:rsidRPr="00244B5B">
        <w:rPr>
          <w:rFonts w:ascii="Times New Roman" w:eastAsia="Times New Roman" w:hAnsi="Times New Roman" w:cs="Times New Roman"/>
          <w:sz w:val="24"/>
          <w:szCs w:val="24"/>
        </w:rPr>
        <w:t>: (115,000)</w:t>
      </w:r>
    </w:p>
    <w:p w:rsidR="00244B5B" w:rsidRPr="00244B5B" w:rsidRDefault="00244B5B" w:rsidP="00244B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b/>
          <w:bCs/>
          <w:sz w:val="24"/>
          <w:szCs w:val="24"/>
        </w:rPr>
        <w:t xml:space="preserve">Informal Sector Plan: </w:t>
      </w:r>
      <w:r w:rsidRPr="00244B5B">
        <w:rPr>
          <w:rFonts w:ascii="Times New Roman" w:eastAsia="Times New Roman" w:hAnsi="Times New Roman" w:cs="Times New Roman"/>
          <w:sz w:val="24"/>
          <w:szCs w:val="24"/>
        </w:rPr>
        <w:t>Voluntary enrolment by traders, artisans, and other self-employed persons.</w:t>
      </w:r>
      <w:r w:rsidRPr="00244B5B">
        <w:rPr>
          <w:rFonts w:ascii="Times New Roman" w:eastAsia="Times New Roman" w:hAnsi="Times New Roman" w:cs="Times New Roman"/>
          <w:sz w:val="24"/>
          <w:szCs w:val="24"/>
        </w:rPr>
        <w:br/>
      </w:r>
      <w:r w:rsidRPr="00244B5B">
        <w:rPr>
          <w:rFonts w:ascii="Times New Roman" w:eastAsia="Times New Roman" w:hAnsi="Times New Roman" w:cs="Times New Roman"/>
          <w:b/>
          <w:bCs/>
          <w:sz w:val="24"/>
          <w:szCs w:val="24"/>
        </w:rPr>
        <w:t>Current enrollees</w:t>
      </w:r>
      <w:r w:rsidRPr="00244B5B">
        <w:rPr>
          <w:rFonts w:ascii="Times New Roman" w:eastAsia="Times New Roman" w:hAnsi="Times New Roman" w:cs="Times New Roman"/>
          <w:sz w:val="24"/>
          <w:szCs w:val="24"/>
        </w:rPr>
        <w:t>: (68)</w:t>
      </w:r>
    </w:p>
    <w:p w:rsidR="00244B5B" w:rsidRPr="00244B5B" w:rsidRDefault="00244B5B" w:rsidP="00244B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b/>
          <w:bCs/>
          <w:sz w:val="24"/>
          <w:szCs w:val="24"/>
        </w:rPr>
        <w:t xml:space="preserve">Equity Plan: </w:t>
      </w:r>
      <w:r w:rsidRPr="00244B5B">
        <w:rPr>
          <w:rFonts w:ascii="Times New Roman" w:eastAsia="Times New Roman" w:hAnsi="Times New Roman" w:cs="Times New Roman"/>
          <w:sz w:val="24"/>
          <w:szCs w:val="24"/>
        </w:rPr>
        <w:t>Provides premium exemption for indigent individuals funded by government, donors and/or philanthropists.</w:t>
      </w:r>
      <w:r w:rsidRPr="00244B5B">
        <w:rPr>
          <w:rFonts w:ascii="Times New Roman" w:eastAsia="Times New Roman" w:hAnsi="Times New Roman" w:cs="Times New Roman"/>
          <w:sz w:val="24"/>
          <w:szCs w:val="24"/>
        </w:rPr>
        <w:br/>
      </w:r>
      <w:r w:rsidRPr="00244B5B">
        <w:rPr>
          <w:rFonts w:ascii="Times New Roman" w:eastAsia="Times New Roman" w:hAnsi="Times New Roman" w:cs="Times New Roman"/>
          <w:b/>
          <w:bCs/>
          <w:sz w:val="24"/>
          <w:szCs w:val="24"/>
        </w:rPr>
        <w:t>Current enrollees</w:t>
      </w:r>
      <w:r w:rsidRPr="00244B5B">
        <w:rPr>
          <w:rFonts w:ascii="Times New Roman" w:eastAsia="Times New Roman" w:hAnsi="Times New Roman" w:cs="Times New Roman"/>
          <w:sz w:val="24"/>
          <w:szCs w:val="24"/>
        </w:rPr>
        <w:t>: (33,419)</w:t>
      </w:r>
    </w:p>
    <w:p w:rsidR="00244B5B" w:rsidRPr="00244B5B" w:rsidRDefault="00244B5B" w:rsidP="00244B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b/>
          <w:bCs/>
          <w:sz w:val="24"/>
          <w:szCs w:val="24"/>
        </w:rPr>
        <w:t xml:space="preserve">European Union </w:t>
      </w:r>
      <w:proofErr w:type="spellStart"/>
      <w:r w:rsidRPr="00244B5B">
        <w:rPr>
          <w:rFonts w:ascii="Times New Roman" w:eastAsia="Times New Roman" w:hAnsi="Times New Roman" w:cs="Times New Roman"/>
          <w:b/>
          <w:bCs/>
          <w:sz w:val="24"/>
          <w:szCs w:val="24"/>
        </w:rPr>
        <w:t>Strenghtening</w:t>
      </w:r>
      <w:proofErr w:type="spellEnd"/>
      <w:r w:rsidRPr="00244B5B">
        <w:rPr>
          <w:rFonts w:ascii="Times New Roman" w:eastAsia="Times New Roman" w:hAnsi="Times New Roman" w:cs="Times New Roman"/>
          <w:b/>
          <w:bCs/>
          <w:sz w:val="24"/>
          <w:szCs w:val="24"/>
        </w:rPr>
        <w:t xml:space="preserve"> Access to Reproductive and Adolescent Health (EU-SARAH) Project: </w:t>
      </w:r>
      <w:r w:rsidRPr="00244B5B">
        <w:rPr>
          <w:rFonts w:ascii="Times New Roman" w:eastAsia="Times New Roman" w:hAnsi="Times New Roman" w:cs="Times New Roman"/>
          <w:sz w:val="24"/>
          <w:szCs w:val="24"/>
        </w:rPr>
        <w:t>A community-based health insurance program funded by the European Union in partnership with UNICEF and UNFPA, designed to increase access to healthcare services targeting fifteen-thousand vulnerable populations in the Nine (9) MAMII LGAs.</w:t>
      </w:r>
      <w:r w:rsidRPr="00244B5B">
        <w:rPr>
          <w:rFonts w:ascii="Times New Roman" w:eastAsia="Times New Roman" w:hAnsi="Times New Roman" w:cs="Times New Roman"/>
          <w:sz w:val="24"/>
          <w:szCs w:val="24"/>
        </w:rPr>
        <w:br/>
      </w:r>
      <w:r w:rsidRPr="00244B5B">
        <w:rPr>
          <w:rFonts w:ascii="Times New Roman" w:eastAsia="Times New Roman" w:hAnsi="Times New Roman" w:cs="Times New Roman"/>
          <w:b/>
          <w:bCs/>
          <w:sz w:val="24"/>
          <w:szCs w:val="24"/>
        </w:rPr>
        <w:t>Projected enrollees</w:t>
      </w:r>
      <w:r w:rsidRPr="00244B5B">
        <w:rPr>
          <w:rFonts w:ascii="Times New Roman" w:eastAsia="Times New Roman" w:hAnsi="Times New Roman" w:cs="Times New Roman"/>
          <w:sz w:val="24"/>
          <w:szCs w:val="24"/>
        </w:rPr>
        <w:t>: (15,000)</w:t>
      </w:r>
    </w:p>
    <w:p w:rsidR="00244B5B" w:rsidRPr="00244B5B" w:rsidRDefault="00244B5B" w:rsidP="00244B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b/>
          <w:bCs/>
          <w:sz w:val="24"/>
          <w:szCs w:val="24"/>
        </w:rPr>
        <w:t>Health Resilience of Northeast (</w:t>
      </w:r>
      <w:proofErr w:type="spellStart"/>
      <w:r w:rsidRPr="00244B5B">
        <w:rPr>
          <w:rFonts w:ascii="Times New Roman" w:eastAsia="Times New Roman" w:hAnsi="Times New Roman" w:cs="Times New Roman"/>
          <w:b/>
          <w:bCs/>
          <w:sz w:val="24"/>
          <w:szCs w:val="24"/>
        </w:rPr>
        <w:t>HeRON</w:t>
      </w:r>
      <w:proofErr w:type="spellEnd"/>
      <w:r w:rsidRPr="00244B5B">
        <w:rPr>
          <w:rFonts w:ascii="Times New Roman" w:eastAsia="Times New Roman" w:hAnsi="Times New Roman" w:cs="Times New Roman"/>
          <w:b/>
          <w:bCs/>
          <w:sz w:val="24"/>
          <w:szCs w:val="24"/>
        </w:rPr>
        <w:t xml:space="preserve">) Project: </w:t>
      </w:r>
      <w:r w:rsidRPr="00244B5B">
        <w:rPr>
          <w:rFonts w:ascii="Times New Roman" w:eastAsia="Times New Roman" w:hAnsi="Times New Roman" w:cs="Times New Roman"/>
          <w:sz w:val="24"/>
          <w:szCs w:val="24"/>
        </w:rPr>
        <w:t>Provided healthcare services to internally displaced persons (IDPs) and host communities.</w:t>
      </w:r>
    </w:p>
    <w:p w:rsidR="00244B5B" w:rsidRPr="00244B5B" w:rsidRDefault="00244B5B" w:rsidP="00244B5B">
      <w:p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b/>
          <w:bCs/>
          <w:sz w:val="24"/>
          <w:szCs w:val="24"/>
        </w:rPr>
        <w:t xml:space="preserve">Number of beneficiaries: </w:t>
      </w:r>
      <w:r w:rsidRPr="00244B5B">
        <w:rPr>
          <w:rFonts w:ascii="Times New Roman" w:eastAsia="Times New Roman" w:hAnsi="Times New Roman" w:cs="Times New Roman"/>
          <w:sz w:val="24"/>
          <w:szCs w:val="24"/>
        </w:rPr>
        <w:t>(13,965)</w:t>
      </w:r>
    </w:p>
    <w:p w:rsidR="00244B5B" w:rsidRPr="00244B5B" w:rsidRDefault="00244B5B" w:rsidP="00244B5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b/>
          <w:bCs/>
          <w:sz w:val="24"/>
          <w:szCs w:val="24"/>
        </w:rPr>
        <w:t>Integrated Child Survival and HIV/AIDS Support for Adolescents (ICSSHA-4 Project:</w:t>
      </w:r>
      <w:r w:rsidRPr="00244B5B">
        <w:rPr>
          <w:rFonts w:ascii="Times New Roman" w:eastAsia="Times New Roman" w:hAnsi="Times New Roman" w:cs="Times New Roman"/>
          <w:sz w:val="24"/>
          <w:szCs w:val="24"/>
        </w:rPr>
        <w:t xml:space="preserve"> Focused on children and adolescents living with HIV (CALHIV), their siblings, and caregivers.</w:t>
      </w:r>
    </w:p>
    <w:p w:rsidR="00244B5B" w:rsidRPr="00244B5B" w:rsidRDefault="00244B5B" w:rsidP="00244B5B">
      <w:p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b/>
          <w:bCs/>
          <w:sz w:val="24"/>
          <w:szCs w:val="24"/>
        </w:rPr>
        <w:t xml:space="preserve">Number of beneficiaries: </w:t>
      </w:r>
      <w:r w:rsidRPr="00244B5B">
        <w:rPr>
          <w:rFonts w:ascii="Times New Roman" w:eastAsia="Times New Roman" w:hAnsi="Times New Roman" w:cs="Times New Roman"/>
          <w:sz w:val="24"/>
          <w:szCs w:val="24"/>
        </w:rPr>
        <w:t>(3,850)</w:t>
      </w:r>
    </w:p>
    <w:p w:rsidR="00244B5B" w:rsidRPr="00244B5B" w:rsidRDefault="00244B5B" w:rsidP="00244B5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b/>
          <w:bCs/>
          <w:sz w:val="24"/>
          <w:szCs w:val="24"/>
        </w:rPr>
        <w:t>Key Highlights and Achievements</w:t>
      </w:r>
    </w:p>
    <w:p w:rsidR="00244B5B" w:rsidRPr="00244B5B" w:rsidRDefault="00244B5B" w:rsidP="00244B5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b/>
          <w:bCs/>
          <w:sz w:val="24"/>
          <w:szCs w:val="24"/>
        </w:rPr>
        <w:t>Enrolment</w:t>
      </w:r>
      <w:r w:rsidRPr="00244B5B">
        <w:rPr>
          <w:rFonts w:ascii="Times New Roman" w:eastAsia="Times New Roman" w:hAnsi="Times New Roman" w:cs="Times New Roman"/>
          <w:sz w:val="24"/>
          <w:szCs w:val="24"/>
        </w:rPr>
        <w:t>: Currently, a total of 243,160 beneficiaries has been enrolled across all ASCHMA health plans from 2021-date, thereby expanding access to affordable healthcare services for residents of Adamawa State.</w:t>
      </w:r>
    </w:p>
    <w:p w:rsidR="00244B5B" w:rsidRPr="00244B5B" w:rsidRDefault="00244B5B" w:rsidP="00244B5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b/>
          <w:bCs/>
          <w:sz w:val="24"/>
          <w:szCs w:val="24"/>
        </w:rPr>
        <w:t>Facility Accreditation</w:t>
      </w:r>
      <w:r w:rsidRPr="00244B5B">
        <w:rPr>
          <w:rFonts w:ascii="Times New Roman" w:eastAsia="Times New Roman" w:hAnsi="Times New Roman" w:cs="Times New Roman"/>
          <w:sz w:val="24"/>
          <w:szCs w:val="24"/>
        </w:rPr>
        <w:t>: The Agency in collaboration with NHIA has conducted accreditation and re-accreditation assessments in 226 PHCCs, 21 general/cottage hospitals, and 35 private hospitals across the 21 LGAs to ensure that facilities meet national quality standards.</w:t>
      </w:r>
    </w:p>
    <w:p w:rsidR="00244B5B" w:rsidRPr="00244B5B" w:rsidRDefault="00244B5B" w:rsidP="00244B5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b/>
          <w:bCs/>
          <w:sz w:val="24"/>
          <w:szCs w:val="24"/>
        </w:rPr>
        <w:t xml:space="preserve">Total Number of Primary </w:t>
      </w:r>
      <w:proofErr w:type="gramStart"/>
      <w:r w:rsidRPr="00244B5B">
        <w:rPr>
          <w:rFonts w:ascii="Times New Roman" w:eastAsia="Times New Roman" w:hAnsi="Times New Roman" w:cs="Times New Roman"/>
          <w:b/>
          <w:bCs/>
          <w:sz w:val="24"/>
          <w:szCs w:val="24"/>
        </w:rPr>
        <w:t>HealthCare</w:t>
      </w:r>
      <w:proofErr w:type="gramEnd"/>
      <w:r w:rsidRPr="00244B5B">
        <w:rPr>
          <w:rFonts w:ascii="Times New Roman" w:eastAsia="Times New Roman" w:hAnsi="Times New Roman" w:cs="Times New Roman"/>
          <w:b/>
          <w:bCs/>
          <w:sz w:val="24"/>
          <w:szCs w:val="24"/>
        </w:rPr>
        <w:t xml:space="preserve"> Centers (PHCCs) supported:</w:t>
      </w:r>
      <w:r w:rsidRPr="00244B5B">
        <w:rPr>
          <w:rFonts w:ascii="Times New Roman" w:eastAsia="Times New Roman" w:hAnsi="Times New Roman" w:cs="Times New Roman"/>
          <w:sz w:val="24"/>
          <w:szCs w:val="24"/>
        </w:rPr>
        <w:t xml:space="preserve"> A total of two-hundred and twenty-Six (226) facilities (1 facility per political ward) are providing primary services through the health insurance scheme from program inception to date.</w:t>
      </w:r>
    </w:p>
    <w:p w:rsidR="00244B5B" w:rsidRPr="00244B5B" w:rsidRDefault="00244B5B" w:rsidP="00244B5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b/>
          <w:bCs/>
          <w:sz w:val="24"/>
          <w:szCs w:val="24"/>
        </w:rPr>
        <w:lastRenderedPageBreak/>
        <w:t>Total Number of Public/Private Secondary Health Care Providers</w:t>
      </w:r>
      <w:r w:rsidRPr="00244B5B">
        <w:rPr>
          <w:rFonts w:ascii="Times New Roman" w:eastAsia="Times New Roman" w:hAnsi="Times New Roman" w:cs="Times New Roman"/>
          <w:sz w:val="24"/>
          <w:szCs w:val="24"/>
        </w:rPr>
        <w:t xml:space="preserve"> </w:t>
      </w:r>
      <w:r w:rsidRPr="00244B5B">
        <w:rPr>
          <w:rFonts w:ascii="Times New Roman" w:eastAsia="Times New Roman" w:hAnsi="Times New Roman" w:cs="Times New Roman"/>
          <w:b/>
          <w:bCs/>
          <w:sz w:val="24"/>
          <w:szCs w:val="24"/>
        </w:rPr>
        <w:t xml:space="preserve">(SHCPs) Engaged: </w:t>
      </w:r>
      <w:r w:rsidRPr="00244B5B">
        <w:rPr>
          <w:rFonts w:ascii="Times New Roman" w:eastAsia="Times New Roman" w:hAnsi="Times New Roman" w:cs="Times New Roman"/>
          <w:sz w:val="24"/>
          <w:szCs w:val="24"/>
        </w:rPr>
        <w:t>A total of thirty-five (35) public/private secondary healthcare facilities are engaged in providing secondary care services to ASCHMA enrollees across the state.</w:t>
      </w:r>
    </w:p>
    <w:p w:rsidR="00244B5B" w:rsidRPr="00244B5B" w:rsidRDefault="00244B5B" w:rsidP="00244B5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b/>
          <w:bCs/>
          <w:sz w:val="24"/>
          <w:szCs w:val="24"/>
        </w:rPr>
        <w:t>Total Number of General and Cottage Hospitals Engaged:</w:t>
      </w:r>
      <w:r w:rsidRPr="00244B5B">
        <w:rPr>
          <w:rFonts w:ascii="Times New Roman" w:eastAsia="Times New Roman" w:hAnsi="Times New Roman" w:cs="Times New Roman"/>
          <w:sz w:val="24"/>
          <w:szCs w:val="24"/>
        </w:rPr>
        <w:t xml:space="preserve"> Twenty-one (21) general and cottage hospitals have been engaged statewide to deliver healthcare services.</w:t>
      </w:r>
    </w:p>
    <w:p w:rsidR="00244B5B" w:rsidRPr="00244B5B" w:rsidRDefault="00244B5B" w:rsidP="00244B5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b/>
          <w:bCs/>
          <w:sz w:val="24"/>
          <w:szCs w:val="24"/>
        </w:rPr>
        <w:t>Monitoring and Evaluation Coverage</w:t>
      </w:r>
      <w:r w:rsidRPr="00244B5B">
        <w:rPr>
          <w:rFonts w:ascii="Times New Roman" w:eastAsia="Times New Roman" w:hAnsi="Times New Roman" w:cs="Times New Roman"/>
          <w:sz w:val="24"/>
          <w:szCs w:val="24"/>
        </w:rPr>
        <w:t>:</w:t>
      </w:r>
    </w:p>
    <w:p w:rsidR="00244B5B" w:rsidRPr="00244B5B" w:rsidRDefault="00244B5B" w:rsidP="00244B5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xml:space="preserve">The Agency has engaged 21 </w:t>
      </w:r>
      <w:proofErr w:type="spellStart"/>
      <w:r w:rsidRPr="00244B5B">
        <w:rPr>
          <w:rFonts w:ascii="Times New Roman" w:eastAsia="Times New Roman" w:hAnsi="Times New Roman" w:cs="Times New Roman"/>
          <w:sz w:val="24"/>
          <w:szCs w:val="24"/>
        </w:rPr>
        <w:t>Adhoc</w:t>
      </w:r>
      <w:proofErr w:type="spellEnd"/>
      <w:r w:rsidRPr="00244B5B">
        <w:rPr>
          <w:rFonts w:ascii="Times New Roman" w:eastAsia="Times New Roman" w:hAnsi="Times New Roman" w:cs="Times New Roman"/>
          <w:sz w:val="24"/>
          <w:szCs w:val="24"/>
        </w:rPr>
        <w:t xml:space="preserve"> Monitoring &amp; Evaluation Officers for 21 Local Government Areas, trained and equipped them with digital tools for seamless operations.</w:t>
      </w:r>
    </w:p>
    <w:p w:rsidR="00244B5B" w:rsidRPr="00244B5B" w:rsidRDefault="00244B5B" w:rsidP="00244B5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The Agency conducts monthly data validation, data audit, biannual monitoring and evaluation visits.</w:t>
      </w:r>
    </w:p>
    <w:p w:rsidR="00244B5B" w:rsidRPr="00244B5B" w:rsidRDefault="00244B5B" w:rsidP="00244B5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xml:space="preserve">Monthly data collection from all the accredited health facilities which are </w:t>
      </w:r>
      <w:proofErr w:type="spellStart"/>
      <w:r w:rsidRPr="00244B5B">
        <w:rPr>
          <w:rFonts w:ascii="Times New Roman" w:eastAsia="Times New Roman" w:hAnsi="Times New Roman" w:cs="Times New Roman"/>
          <w:sz w:val="24"/>
          <w:szCs w:val="24"/>
        </w:rPr>
        <w:t>analysed</w:t>
      </w:r>
      <w:proofErr w:type="spellEnd"/>
      <w:r w:rsidRPr="00244B5B">
        <w:rPr>
          <w:rFonts w:ascii="Times New Roman" w:eastAsia="Times New Roman" w:hAnsi="Times New Roman" w:cs="Times New Roman"/>
          <w:sz w:val="24"/>
          <w:szCs w:val="24"/>
        </w:rPr>
        <w:t xml:space="preserve"> for informed decision making.</w:t>
      </w:r>
    </w:p>
    <w:p w:rsidR="00244B5B" w:rsidRPr="00244B5B" w:rsidRDefault="00244B5B" w:rsidP="00244B5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Quarterly programmatic and financial reports are submitted to National Health Insurance Authority.</w:t>
      </w:r>
    </w:p>
    <w:p w:rsidR="00244B5B" w:rsidRPr="00244B5B" w:rsidRDefault="00244B5B" w:rsidP="00244B5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Quarterly Meeting of the State Oversight Committee (SOC) for the Basic Health Care Provision Fund.</w:t>
      </w:r>
    </w:p>
    <w:p w:rsidR="00244B5B" w:rsidRPr="00244B5B" w:rsidRDefault="00244B5B" w:rsidP="00244B5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b/>
          <w:bCs/>
          <w:sz w:val="24"/>
          <w:szCs w:val="24"/>
        </w:rPr>
        <w:t>Standard Quality Assurance (SQA)</w:t>
      </w:r>
      <w:r w:rsidRPr="00244B5B">
        <w:rPr>
          <w:rFonts w:ascii="Times New Roman" w:eastAsia="Times New Roman" w:hAnsi="Times New Roman" w:cs="Times New Roman"/>
          <w:sz w:val="24"/>
          <w:szCs w:val="24"/>
        </w:rPr>
        <w:t>:</w:t>
      </w:r>
    </w:p>
    <w:p w:rsidR="00244B5B" w:rsidRPr="00244B5B" w:rsidRDefault="00244B5B" w:rsidP="00244B5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Conducted Client Satisfaction Survey across the 21 Local Government Areas.</w:t>
      </w:r>
    </w:p>
    <w:p w:rsidR="00244B5B" w:rsidRPr="00244B5B" w:rsidRDefault="00244B5B" w:rsidP="00244B5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Conducts Quarterly Supportive Supervision across 226 PHCCs, 21 General Hospitals and 35 Private Facilities.</w:t>
      </w:r>
    </w:p>
    <w:p w:rsidR="00244B5B" w:rsidRPr="00244B5B" w:rsidRDefault="00244B5B" w:rsidP="00244B5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Conduct unscheduled spots-checks across the 21 LGAs using Open Data Kit (ODK).</w:t>
      </w:r>
    </w:p>
    <w:p w:rsidR="00244B5B" w:rsidRPr="00244B5B" w:rsidRDefault="00244B5B" w:rsidP="00244B5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Conducts Enforcement Exercises across all accredited Health facilities.</w:t>
      </w:r>
    </w:p>
    <w:p w:rsidR="00244B5B" w:rsidRPr="00244B5B" w:rsidRDefault="00244B5B" w:rsidP="00244B5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On-going actuarial analysis aimed at improving service and drug tariffs.</w:t>
      </w:r>
    </w:p>
    <w:p w:rsidR="00244B5B" w:rsidRPr="00244B5B" w:rsidRDefault="00244B5B" w:rsidP="00244B5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b/>
          <w:bCs/>
          <w:sz w:val="24"/>
          <w:szCs w:val="24"/>
        </w:rPr>
        <w:t>ICT Integration</w:t>
      </w:r>
      <w:r w:rsidRPr="00244B5B">
        <w:rPr>
          <w:rFonts w:ascii="Times New Roman" w:eastAsia="Times New Roman" w:hAnsi="Times New Roman" w:cs="Times New Roman"/>
          <w:sz w:val="24"/>
          <w:szCs w:val="24"/>
        </w:rPr>
        <w:t>:</w:t>
      </w:r>
    </w:p>
    <w:p w:rsidR="00244B5B" w:rsidRPr="00244B5B" w:rsidRDefault="00244B5B" w:rsidP="00244B5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xml:space="preserve">The Agency operates a24/7 emergency call </w:t>
      </w:r>
      <w:proofErr w:type="spellStart"/>
      <w:r w:rsidRPr="00244B5B">
        <w:rPr>
          <w:rFonts w:ascii="Times New Roman" w:eastAsia="Times New Roman" w:hAnsi="Times New Roman" w:cs="Times New Roman"/>
          <w:sz w:val="24"/>
          <w:szCs w:val="24"/>
        </w:rPr>
        <w:t>centre</w:t>
      </w:r>
      <w:proofErr w:type="spellEnd"/>
      <w:r w:rsidRPr="00244B5B">
        <w:rPr>
          <w:rFonts w:ascii="Times New Roman" w:eastAsia="Times New Roman" w:hAnsi="Times New Roman" w:cs="Times New Roman"/>
          <w:sz w:val="24"/>
          <w:szCs w:val="24"/>
        </w:rPr>
        <w:t xml:space="preserve"> for enrollee feedback and referral purposes.</w:t>
      </w:r>
    </w:p>
    <w:p w:rsidR="00244B5B" w:rsidRPr="00244B5B" w:rsidRDefault="00244B5B" w:rsidP="00244B5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ICT infrastructure and digital tool deployment (i.e., e-claims and ODK tools) enhanced program efficiency and data-driven decision-making.</w:t>
      </w:r>
    </w:p>
    <w:p w:rsidR="00244B5B" w:rsidRPr="00244B5B" w:rsidRDefault="00244B5B" w:rsidP="00244B5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The Agency conducts electronic enrollment across all the 226 wards of the state.</w:t>
      </w:r>
    </w:p>
    <w:p w:rsidR="00244B5B" w:rsidRPr="00244B5B" w:rsidRDefault="00244B5B" w:rsidP="00244B5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The Agency has signed an MOU with SOCU to mine beneficiary data from the social register.</w:t>
      </w:r>
    </w:p>
    <w:p w:rsidR="00244B5B" w:rsidRPr="00244B5B" w:rsidRDefault="00244B5B" w:rsidP="00244B5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The Agency has collaborated with NIMC to generate NIN for its beneficiaries.</w:t>
      </w:r>
    </w:p>
    <w:p w:rsidR="00244B5B" w:rsidRPr="00244B5B" w:rsidRDefault="00244B5B" w:rsidP="00244B5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b/>
          <w:bCs/>
          <w:sz w:val="24"/>
          <w:szCs w:val="24"/>
        </w:rPr>
        <w:t>Community Impact</w:t>
      </w:r>
      <w:r w:rsidRPr="00244B5B">
        <w:rPr>
          <w:rFonts w:ascii="Times New Roman" w:eastAsia="Times New Roman" w:hAnsi="Times New Roman" w:cs="Times New Roman"/>
          <w:sz w:val="24"/>
          <w:szCs w:val="24"/>
        </w:rPr>
        <w:t xml:space="preserve">: Increased community </w:t>
      </w:r>
      <w:proofErr w:type="spellStart"/>
      <w:r w:rsidRPr="00244B5B">
        <w:rPr>
          <w:rFonts w:ascii="Times New Roman" w:eastAsia="Times New Roman" w:hAnsi="Times New Roman" w:cs="Times New Roman"/>
          <w:sz w:val="24"/>
          <w:szCs w:val="24"/>
        </w:rPr>
        <w:t>enagement</w:t>
      </w:r>
      <w:proofErr w:type="spellEnd"/>
      <w:r w:rsidRPr="00244B5B">
        <w:rPr>
          <w:rFonts w:ascii="Times New Roman" w:eastAsia="Times New Roman" w:hAnsi="Times New Roman" w:cs="Times New Roman"/>
          <w:sz w:val="24"/>
          <w:szCs w:val="24"/>
        </w:rPr>
        <w:t>/awareness has improved the two-way referral system and has boosted enrolment, although further engagement is needed at the ward levels.</w:t>
      </w:r>
    </w:p>
    <w:p w:rsidR="00244B5B" w:rsidRPr="00244B5B" w:rsidRDefault="00244B5B" w:rsidP="00244B5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b/>
          <w:bCs/>
          <w:sz w:val="24"/>
          <w:szCs w:val="24"/>
        </w:rPr>
        <w:t>Financial flows and disbursement trends</w:t>
      </w:r>
    </w:p>
    <w:p w:rsidR="00244B5B" w:rsidRPr="00244B5B" w:rsidRDefault="00244B5B" w:rsidP="00244B5B">
      <w:p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xml:space="preserve">Financial flows under the Basic Health Care Provision Fund (BHCPF) and other ASCHMA-supported programs remain critical for ensuring uninterrupted delivery of the Basic Minimum </w:t>
      </w:r>
      <w:r w:rsidRPr="00244B5B">
        <w:rPr>
          <w:rFonts w:ascii="Times New Roman" w:eastAsia="Times New Roman" w:hAnsi="Times New Roman" w:cs="Times New Roman"/>
          <w:sz w:val="24"/>
          <w:szCs w:val="24"/>
        </w:rPr>
        <w:lastRenderedPageBreak/>
        <w:t>Package of Health Services (BMPHS). Over the review period, trends in capitation payments, Fee-for-Service reimbursements, and disbursements from NHIA and the State Government reveal both progress and challenges in sustaining health financing for enrollees.</w:t>
      </w:r>
    </w:p>
    <w:p w:rsidR="00244B5B" w:rsidRPr="00244B5B" w:rsidRDefault="00244B5B" w:rsidP="00244B5B">
      <w:p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Disbursements from the National Health Insurance Authority (NHIA) fluctuated over the five-year period. In 2021, NHIA released ₦348.5 million, which more than doubled in 2022 to ₦668.9 million, the highest level recorded. Funding then dropped drastically in 2023 to ₦402.7 million, before recovering in 2024 at ₦606.9 million, and stabilizing at ₦502 million in 2025.</w:t>
      </w:r>
    </w:p>
    <w:p w:rsidR="00244B5B" w:rsidRPr="00244B5B" w:rsidRDefault="00244B5B" w:rsidP="00244B5B">
      <w:p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xml:space="preserve">Complementing NHIA contributions, the Adamawa State Government has consistently demonstrated steady commitment to health financing, with counterpart funding rising from ₦125.2 million in 2022 to ₦170.3 million in 2023, and further to ₦210.4 million in 2024 and ₦256.4 million in 2025. This upward trajectory highlights the state’s commitment to co-financing Universal Health Coverage (UHC) and </w:t>
      </w:r>
      <w:proofErr w:type="spellStart"/>
      <w:r w:rsidRPr="00244B5B">
        <w:rPr>
          <w:rFonts w:ascii="Times New Roman" w:eastAsia="Times New Roman" w:hAnsi="Times New Roman" w:cs="Times New Roman"/>
          <w:sz w:val="24"/>
          <w:szCs w:val="24"/>
        </w:rPr>
        <w:t>stregthening</w:t>
      </w:r>
      <w:proofErr w:type="spellEnd"/>
      <w:r w:rsidRPr="00244B5B">
        <w:rPr>
          <w:rFonts w:ascii="Times New Roman" w:eastAsia="Times New Roman" w:hAnsi="Times New Roman" w:cs="Times New Roman"/>
          <w:sz w:val="24"/>
          <w:szCs w:val="24"/>
        </w:rPr>
        <w:t xml:space="preserve"> the long-term sustainability of the health insurance scheme in Adamawa State. Across this period, 57% of NHIA disbursements were consistently allocated as capitation to PHCCs (a prepaid amount disbursed quarterly to PHCCs based on the number of enrollees registered), it ensures continuous service delivery for routine care at the primary level. While 18.25% supported secondary care reimbursements through Fee-for-Service (FFS payments are reimbursements made to SHCPs for referred services rendered to enrollees beyond the PHC level).</w:t>
      </w:r>
    </w:p>
    <w:p w:rsidR="00244B5B" w:rsidRPr="00244B5B" w:rsidRDefault="00244B5B" w:rsidP="00244B5B">
      <w:pPr>
        <w:spacing w:before="100" w:beforeAutospacing="1" w:after="100" w:afterAutospacing="1" w:line="240" w:lineRule="auto"/>
        <w:outlineLvl w:val="1"/>
        <w:rPr>
          <w:rFonts w:ascii="Times New Roman" w:eastAsia="Times New Roman" w:hAnsi="Times New Roman" w:cs="Times New Roman"/>
          <w:b/>
          <w:bCs/>
          <w:sz w:val="36"/>
          <w:szCs w:val="36"/>
        </w:rPr>
      </w:pPr>
      <w:r w:rsidRPr="00244B5B">
        <w:rPr>
          <w:rFonts w:ascii="Times New Roman" w:eastAsia="Times New Roman" w:hAnsi="Times New Roman" w:cs="Times New Roman"/>
          <w:b/>
          <w:bCs/>
          <w:sz w:val="36"/>
          <w:szCs w:val="36"/>
        </w:rPr>
        <w:t>7. Trends in Service Utilization: Yearly Access to Care and Referrals</w:t>
      </w:r>
    </w:p>
    <w:p w:rsidR="00244B5B" w:rsidRPr="00244B5B" w:rsidRDefault="00244B5B" w:rsidP="00244B5B">
      <w:p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Monitoring service utilization over time helps assess the performance of ASCHMA's health plans and the effectiveness of the interventions aimed at improving access to care. This section presents annual trends in </w:t>
      </w:r>
      <w:r w:rsidRPr="00244B5B">
        <w:rPr>
          <w:rFonts w:ascii="Times New Roman" w:eastAsia="Times New Roman" w:hAnsi="Times New Roman" w:cs="Times New Roman"/>
          <w:b/>
          <w:bCs/>
          <w:sz w:val="24"/>
          <w:szCs w:val="24"/>
        </w:rPr>
        <w:t>beneficiary visits to PHCCs</w:t>
      </w:r>
      <w:r w:rsidRPr="00244B5B">
        <w:rPr>
          <w:rFonts w:ascii="Times New Roman" w:eastAsia="Times New Roman" w:hAnsi="Times New Roman" w:cs="Times New Roman"/>
          <w:sz w:val="24"/>
          <w:szCs w:val="24"/>
        </w:rPr>
        <w:t> and </w:t>
      </w:r>
      <w:r w:rsidRPr="00244B5B">
        <w:rPr>
          <w:rFonts w:ascii="Times New Roman" w:eastAsia="Times New Roman" w:hAnsi="Times New Roman" w:cs="Times New Roman"/>
          <w:b/>
          <w:bCs/>
          <w:sz w:val="24"/>
          <w:szCs w:val="24"/>
        </w:rPr>
        <w:t>referrals to secondary care</w:t>
      </w:r>
      <w:r w:rsidRPr="00244B5B">
        <w:rPr>
          <w:rFonts w:ascii="Times New Roman" w:eastAsia="Times New Roman" w:hAnsi="Times New Roman" w:cs="Times New Roman"/>
          <w:sz w:val="24"/>
          <w:szCs w:val="24"/>
        </w:rPr>
        <w:t>, based on data from 2021 to 1</w:t>
      </w:r>
      <w:r w:rsidRPr="00244B5B">
        <w:rPr>
          <w:rFonts w:ascii="Times New Roman" w:eastAsia="Times New Roman" w:hAnsi="Times New Roman" w:cs="Times New Roman"/>
          <w:sz w:val="24"/>
          <w:szCs w:val="24"/>
          <w:vertAlign w:val="superscript"/>
        </w:rPr>
        <w:t>st</w:t>
      </w:r>
      <w:r w:rsidRPr="00244B5B">
        <w:rPr>
          <w:rFonts w:ascii="Times New Roman" w:eastAsia="Times New Roman" w:hAnsi="Times New Roman" w:cs="Times New Roman"/>
          <w:sz w:val="24"/>
          <w:szCs w:val="24"/>
        </w:rPr>
        <w:t xml:space="preserve"> quarter of 2025.</w:t>
      </w:r>
    </w:p>
    <w:p w:rsidR="00244B5B" w:rsidRPr="00244B5B" w:rsidRDefault="00244B5B" w:rsidP="00244B5B">
      <w:p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b/>
          <w:bCs/>
          <w:i/>
          <w:iCs/>
          <w:sz w:val="24"/>
          <w:szCs w:val="24"/>
        </w:rPr>
        <w:t>Yearly Access to Care Across all ASCHMA Healthcare Plans</w:t>
      </w:r>
    </w:p>
    <w:tbl>
      <w:tblPr>
        <w:tblW w:w="7428" w:type="dxa"/>
        <w:tblCellSpacing w:w="15" w:type="dxa"/>
        <w:tblCellMar>
          <w:top w:w="15" w:type="dxa"/>
          <w:left w:w="15" w:type="dxa"/>
          <w:bottom w:w="15" w:type="dxa"/>
          <w:right w:w="15" w:type="dxa"/>
        </w:tblCellMar>
        <w:tblLook w:val="04A0" w:firstRow="1" w:lastRow="0" w:firstColumn="1" w:lastColumn="0" w:noHBand="0" w:noVBand="1"/>
      </w:tblPr>
      <w:tblGrid>
        <w:gridCol w:w="1309"/>
        <w:gridCol w:w="1240"/>
        <w:gridCol w:w="1345"/>
        <w:gridCol w:w="3534"/>
      </w:tblGrid>
      <w:tr w:rsidR="00244B5B" w:rsidRPr="00244B5B" w:rsidTr="00244B5B">
        <w:trPr>
          <w:tblCellSpacing w:w="15" w:type="dxa"/>
        </w:trPr>
        <w:tc>
          <w:tcPr>
            <w:tcW w:w="129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b/>
                <w:bCs/>
                <w:sz w:val="24"/>
                <w:szCs w:val="24"/>
              </w:rPr>
              <w:t>Year</w:t>
            </w:r>
          </w:p>
        </w:tc>
        <w:tc>
          <w:tcPr>
            <w:tcW w:w="122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b/>
                <w:bCs/>
                <w:sz w:val="24"/>
                <w:szCs w:val="24"/>
              </w:rPr>
              <w:t>Total Enrollee Visits</w:t>
            </w:r>
          </w:p>
        </w:tc>
        <w:tc>
          <w:tcPr>
            <w:tcW w:w="1332"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b/>
                <w:bCs/>
                <w:sz w:val="24"/>
                <w:szCs w:val="24"/>
              </w:rPr>
              <w:t>% Change from Previous Year</w:t>
            </w:r>
          </w:p>
        </w:tc>
        <w:tc>
          <w:tcPr>
            <w:tcW w:w="357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b/>
                <w:bCs/>
                <w:sz w:val="24"/>
                <w:szCs w:val="24"/>
              </w:rPr>
              <w:t>Remarks</w:t>
            </w:r>
          </w:p>
        </w:tc>
      </w:tr>
      <w:tr w:rsidR="00244B5B" w:rsidRPr="00244B5B" w:rsidTr="00244B5B">
        <w:trPr>
          <w:tblCellSpacing w:w="15" w:type="dxa"/>
        </w:trPr>
        <w:tc>
          <w:tcPr>
            <w:tcW w:w="129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2021</w:t>
            </w:r>
          </w:p>
        </w:tc>
        <w:tc>
          <w:tcPr>
            <w:tcW w:w="122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w:t>
            </w:r>
          </w:p>
        </w:tc>
        <w:tc>
          <w:tcPr>
            <w:tcW w:w="1332"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w:t>
            </w:r>
          </w:p>
        </w:tc>
        <w:tc>
          <w:tcPr>
            <w:tcW w:w="357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Baseline year for BHCPF implementation</w:t>
            </w:r>
          </w:p>
        </w:tc>
      </w:tr>
      <w:tr w:rsidR="00244B5B" w:rsidRPr="00244B5B" w:rsidTr="00244B5B">
        <w:trPr>
          <w:tblCellSpacing w:w="15" w:type="dxa"/>
        </w:trPr>
        <w:tc>
          <w:tcPr>
            <w:tcW w:w="129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2022</w:t>
            </w:r>
          </w:p>
        </w:tc>
        <w:tc>
          <w:tcPr>
            <w:tcW w:w="122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72,809</w:t>
            </w:r>
          </w:p>
        </w:tc>
        <w:tc>
          <w:tcPr>
            <w:tcW w:w="1332"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w:t>
            </w:r>
          </w:p>
        </w:tc>
        <w:tc>
          <w:tcPr>
            <w:tcW w:w="357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Pilot year for formal sector plan; active enrolment campaigns and community sensitization</w:t>
            </w:r>
          </w:p>
        </w:tc>
      </w:tr>
      <w:tr w:rsidR="00244B5B" w:rsidRPr="00244B5B" w:rsidTr="00244B5B">
        <w:trPr>
          <w:tblCellSpacing w:w="15" w:type="dxa"/>
        </w:trPr>
        <w:tc>
          <w:tcPr>
            <w:tcW w:w="129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2023</w:t>
            </w:r>
          </w:p>
        </w:tc>
        <w:tc>
          <w:tcPr>
            <w:tcW w:w="122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70,031</w:t>
            </w:r>
          </w:p>
        </w:tc>
        <w:tc>
          <w:tcPr>
            <w:tcW w:w="1332"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-4%</w:t>
            </w:r>
          </w:p>
        </w:tc>
        <w:tc>
          <w:tcPr>
            <w:tcW w:w="357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proofErr w:type="spellStart"/>
            <w:r w:rsidRPr="00244B5B">
              <w:rPr>
                <w:rFonts w:ascii="Times New Roman" w:eastAsia="Times New Roman" w:hAnsi="Times New Roman" w:cs="Times New Roman"/>
                <w:sz w:val="24"/>
                <w:szCs w:val="24"/>
              </w:rPr>
              <w:t>Adjusttment</w:t>
            </w:r>
            <w:proofErr w:type="spellEnd"/>
            <w:r w:rsidRPr="00244B5B">
              <w:rPr>
                <w:rFonts w:ascii="Times New Roman" w:eastAsia="Times New Roman" w:hAnsi="Times New Roman" w:cs="Times New Roman"/>
                <w:sz w:val="24"/>
                <w:szCs w:val="24"/>
              </w:rPr>
              <w:t xml:space="preserve"> year; improved accreditation of PHCC and capitation flow to facilities</w:t>
            </w:r>
          </w:p>
        </w:tc>
      </w:tr>
      <w:tr w:rsidR="00244B5B" w:rsidRPr="00244B5B" w:rsidTr="00244B5B">
        <w:trPr>
          <w:tblCellSpacing w:w="15" w:type="dxa"/>
        </w:trPr>
        <w:tc>
          <w:tcPr>
            <w:tcW w:w="129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lastRenderedPageBreak/>
              <w:t>2024</w:t>
            </w:r>
          </w:p>
        </w:tc>
        <w:tc>
          <w:tcPr>
            <w:tcW w:w="122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109,452</w:t>
            </w:r>
          </w:p>
        </w:tc>
        <w:tc>
          <w:tcPr>
            <w:tcW w:w="1332"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56%</w:t>
            </w:r>
          </w:p>
        </w:tc>
        <w:tc>
          <w:tcPr>
            <w:tcW w:w="357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Significant expansion in coverage and enrolment</w:t>
            </w:r>
          </w:p>
        </w:tc>
      </w:tr>
      <w:tr w:rsidR="00244B5B" w:rsidRPr="00244B5B" w:rsidTr="00244B5B">
        <w:trPr>
          <w:tblCellSpacing w:w="15" w:type="dxa"/>
        </w:trPr>
        <w:tc>
          <w:tcPr>
            <w:tcW w:w="129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2025 (Jan-Jun)</w:t>
            </w:r>
          </w:p>
        </w:tc>
        <w:tc>
          <w:tcPr>
            <w:tcW w:w="122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95,191</w:t>
            </w:r>
          </w:p>
        </w:tc>
        <w:tc>
          <w:tcPr>
            <w:tcW w:w="1332"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74%</w:t>
            </w:r>
          </w:p>
        </w:tc>
        <w:tc>
          <w:tcPr>
            <w:tcW w:w="357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Indicates accelerated enrolment and utilization</w:t>
            </w:r>
          </w:p>
        </w:tc>
      </w:tr>
    </w:tbl>
    <w:p w:rsidR="00244B5B" w:rsidRPr="00244B5B" w:rsidRDefault="00244B5B" w:rsidP="00244B5B">
      <w:p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b/>
          <w:bCs/>
          <w:sz w:val="24"/>
          <w:szCs w:val="24"/>
        </w:rPr>
        <w:t>Analysis:</w:t>
      </w:r>
      <w:r w:rsidRPr="00244B5B">
        <w:rPr>
          <w:rFonts w:ascii="Times New Roman" w:eastAsia="Times New Roman" w:hAnsi="Times New Roman" w:cs="Times New Roman"/>
          <w:sz w:val="24"/>
          <w:szCs w:val="24"/>
        </w:rPr>
        <w:t xml:space="preserve"> </w:t>
      </w:r>
      <w:r w:rsidRPr="00244B5B">
        <w:rPr>
          <w:rFonts w:ascii="Times New Roman" w:eastAsia="Times New Roman" w:hAnsi="Times New Roman" w:cs="Times New Roman"/>
          <w:b/>
          <w:bCs/>
          <w:sz w:val="24"/>
          <w:szCs w:val="24"/>
        </w:rPr>
        <w:t xml:space="preserve">Access to care increased steadily, with 2022 recording 72,809 visits during the pilot phase. A slight drop in 2023 (-4%) reflected utilization challenges, but this was quickly reversed in 2024 with a sharp 56% increase to 109,452 visits. By </w:t>
      </w:r>
      <w:proofErr w:type="spellStart"/>
      <w:r w:rsidRPr="00244B5B">
        <w:rPr>
          <w:rFonts w:ascii="Times New Roman" w:eastAsia="Times New Roman" w:hAnsi="Times New Roman" w:cs="Times New Roman"/>
          <w:b/>
          <w:bCs/>
          <w:sz w:val="24"/>
          <w:szCs w:val="24"/>
        </w:rPr>
        <w:t>mid 2025</w:t>
      </w:r>
      <w:proofErr w:type="spellEnd"/>
      <w:r w:rsidRPr="00244B5B">
        <w:rPr>
          <w:rFonts w:ascii="Times New Roman" w:eastAsia="Times New Roman" w:hAnsi="Times New Roman" w:cs="Times New Roman"/>
          <w:b/>
          <w:bCs/>
          <w:sz w:val="24"/>
          <w:szCs w:val="24"/>
        </w:rPr>
        <w:t xml:space="preserve">, enrollee visits (95,191 in just six months) already surpassed 87% of the 2024 annual total, suggesting ASCHMA, is on track to nearly double utilization compared to previous years. This reflects increased confidence in the scheme, wider enrolment across LGAs, and stronger public awareness.           </w:t>
      </w:r>
    </w:p>
    <w:p w:rsidR="00244B5B" w:rsidRPr="00244B5B" w:rsidRDefault="00244B5B" w:rsidP="00244B5B">
      <w:pPr>
        <w:spacing w:before="100" w:beforeAutospacing="1" w:after="100" w:afterAutospacing="1" w:line="240" w:lineRule="auto"/>
        <w:outlineLvl w:val="2"/>
        <w:rPr>
          <w:rFonts w:ascii="Times New Roman" w:eastAsia="Times New Roman" w:hAnsi="Times New Roman" w:cs="Times New Roman"/>
          <w:b/>
          <w:bCs/>
          <w:sz w:val="27"/>
          <w:szCs w:val="27"/>
        </w:rPr>
      </w:pPr>
      <w:r w:rsidRPr="00244B5B">
        <w:rPr>
          <w:rFonts w:ascii="Times New Roman" w:eastAsia="Times New Roman" w:hAnsi="Times New Roman" w:cs="Times New Roman"/>
          <w:b/>
          <w:bCs/>
          <w:i/>
          <w:iCs/>
          <w:sz w:val="27"/>
          <w:szCs w:val="27"/>
        </w:rPr>
        <w:t>Yearly Referrals from PHCCs to SHCPs</w:t>
      </w:r>
    </w:p>
    <w:tbl>
      <w:tblPr>
        <w:tblW w:w="8148" w:type="dxa"/>
        <w:tblCellSpacing w:w="15" w:type="dxa"/>
        <w:tblCellMar>
          <w:top w:w="15" w:type="dxa"/>
          <w:left w:w="15" w:type="dxa"/>
          <w:bottom w:w="15" w:type="dxa"/>
          <w:right w:w="15" w:type="dxa"/>
        </w:tblCellMar>
        <w:tblLook w:val="04A0" w:firstRow="1" w:lastRow="0" w:firstColumn="1" w:lastColumn="0" w:noHBand="0" w:noVBand="1"/>
      </w:tblPr>
      <w:tblGrid>
        <w:gridCol w:w="1419"/>
        <w:gridCol w:w="1162"/>
        <w:gridCol w:w="1787"/>
        <w:gridCol w:w="3780"/>
      </w:tblGrid>
      <w:tr w:rsidR="00244B5B" w:rsidRPr="00244B5B" w:rsidTr="00244B5B">
        <w:trPr>
          <w:tblCellSpacing w:w="15" w:type="dxa"/>
        </w:trPr>
        <w:tc>
          <w:tcPr>
            <w:tcW w:w="140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b/>
                <w:bCs/>
                <w:sz w:val="24"/>
                <w:szCs w:val="24"/>
              </w:rPr>
              <w:t>Year</w:t>
            </w:r>
          </w:p>
        </w:tc>
        <w:tc>
          <w:tcPr>
            <w:tcW w:w="1140"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b/>
                <w:bCs/>
                <w:sz w:val="24"/>
                <w:szCs w:val="24"/>
              </w:rPr>
              <w:t>Total referrals</w:t>
            </w:r>
          </w:p>
        </w:tc>
        <w:tc>
          <w:tcPr>
            <w:tcW w:w="1788"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b/>
                <w:bCs/>
                <w:sz w:val="24"/>
                <w:szCs w:val="24"/>
              </w:rPr>
              <w:t>Change from previous Year</w:t>
            </w:r>
          </w:p>
        </w:tc>
        <w:tc>
          <w:tcPr>
            <w:tcW w:w="381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b/>
                <w:bCs/>
                <w:sz w:val="24"/>
                <w:szCs w:val="24"/>
              </w:rPr>
              <w:t>Remarks</w:t>
            </w:r>
          </w:p>
        </w:tc>
      </w:tr>
      <w:tr w:rsidR="00244B5B" w:rsidRPr="00244B5B" w:rsidTr="00244B5B">
        <w:trPr>
          <w:tblCellSpacing w:w="15" w:type="dxa"/>
        </w:trPr>
        <w:tc>
          <w:tcPr>
            <w:tcW w:w="140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2021</w:t>
            </w:r>
          </w:p>
        </w:tc>
        <w:tc>
          <w:tcPr>
            <w:tcW w:w="1140"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w:t>
            </w:r>
          </w:p>
        </w:tc>
        <w:tc>
          <w:tcPr>
            <w:tcW w:w="1788"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w:t>
            </w:r>
          </w:p>
        </w:tc>
        <w:tc>
          <w:tcPr>
            <w:tcW w:w="381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Pre-implementation phase/no data available</w:t>
            </w:r>
          </w:p>
        </w:tc>
      </w:tr>
      <w:tr w:rsidR="00244B5B" w:rsidRPr="00244B5B" w:rsidTr="00244B5B">
        <w:trPr>
          <w:tblCellSpacing w:w="15" w:type="dxa"/>
        </w:trPr>
        <w:tc>
          <w:tcPr>
            <w:tcW w:w="140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2022</w:t>
            </w:r>
          </w:p>
        </w:tc>
        <w:tc>
          <w:tcPr>
            <w:tcW w:w="1140"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210</w:t>
            </w:r>
          </w:p>
        </w:tc>
        <w:tc>
          <w:tcPr>
            <w:tcW w:w="1788"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w:t>
            </w:r>
          </w:p>
        </w:tc>
        <w:tc>
          <w:tcPr>
            <w:tcW w:w="381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xml:space="preserve">Initial referral system </w:t>
            </w:r>
            <w:proofErr w:type="spellStart"/>
            <w:r w:rsidRPr="00244B5B">
              <w:rPr>
                <w:rFonts w:ascii="Times New Roman" w:eastAsia="Times New Roman" w:hAnsi="Times New Roman" w:cs="Times New Roman"/>
                <w:sz w:val="24"/>
                <w:szCs w:val="24"/>
              </w:rPr>
              <w:t>setu</w:t>
            </w:r>
            <w:proofErr w:type="spellEnd"/>
            <w:r w:rsidRPr="00244B5B">
              <w:rPr>
                <w:rFonts w:ascii="Times New Roman" w:eastAsia="Times New Roman" w:hAnsi="Times New Roman" w:cs="Times New Roman"/>
                <w:sz w:val="24"/>
                <w:szCs w:val="24"/>
              </w:rPr>
              <w:t>-up during early rollout; capacity building for PHCC staff</w:t>
            </w:r>
          </w:p>
        </w:tc>
      </w:tr>
      <w:tr w:rsidR="00244B5B" w:rsidRPr="00244B5B" w:rsidTr="00244B5B">
        <w:trPr>
          <w:tblCellSpacing w:w="15" w:type="dxa"/>
        </w:trPr>
        <w:tc>
          <w:tcPr>
            <w:tcW w:w="140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2023</w:t>
            </w:r>
          </w:p>
        </w:tc>
        <w:tc>
          <w:tcPr>
            <w:tcW w:w="1140"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3,161</w:t>
            </w:r>
          </w:p>
        </w:tc>
        <w:tc>
          <w:tcPr>
            <w:tcW w:w="1788"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More than 15 times higher than previous year</w:t>
            </w:r>
          </w:p>
        </w:tc>
        <w:tc>
          <w:tcPr>
            <w:tcW w:w="381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xml:space="preserve">Improved PHCC capacity and </w:t>
            </w:r>
            <w:proofErr w:type="spellStart"/>
            <w:r w:rsidRPr="00244B5B">
              <w:rPr>
                <w:rFonts w:ascii="Times New Roman" w:eastAsia="Times New Roman" w:hAnsi="Times New Roman" w:cs="Times New Roman"/>
                <w:sz w:val="24"/>
                <w:szCs w:val="24"/>
              </w:rPr>
              <w:t>stengthened</w:t>
            </w:r>
            <w:proofErr w:type="spellEnd"/>
            <w:r w:rsidRPr="00244B5B">
              <w:rPr>
                <w:rFonts w:ascii="Times New Roman" w:eastAsia="Times New Roman" w:hAnsi="Times New Roman" w:cs="Times New Roman"/>
                <w:sz w:val="24"/>
                <w:szCs w:val="24"/>
              </w:rPr>
              <w:t xml:space="preserve"> referral systems</w:t>
            </w:r>
          </w:p>
        </w:tc>
      </w:tr>
      <w:tr w:rsidR="00244B5B" w:rsidRPr="00244B5B" w:rsidTr="00244B5B">
        <w:trPr>
          <w:tblCellSpacing w:w="15" w:type="dxa"/>
        </w:trPr>
        <w:tc>
          <w:tcPr>
            <w:tcW w:w="140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2024</w:t>
            </w:r>
          </w:p>
        </w:tc>
        <w:tc>
          <w:tcPr>
            <w:tcW w:w="1140"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5,945</w:t>
            </w:r>
          </w:p>
        </w:tc>
        <w:tc>
          <w:tcPr>
            <w:tcW w:w="1788"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88%</w:t>
            </w:r>
          </w:p>
        </w:tc>
        <w:tc>
          <w:tcPr>
            <w:tcW w:w="381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Stronger linkages and improved claims management; technical issues and poor access in some hard to reach LGAs</w:t>
            </w:r>
          </w:p>
        </w:tc>
      </w:tr>
      <w:tr w:rsidR="00244B5B" w:rsidRPr="00244B5B" w:rsidTr="00244B5B">
        <w:trPr>
          <w:tblCellSpacing w:w="15" w:type="dxa"/>
        </w:trPr>
        <w:tc>
          <w:tcPr>
            <w:tcW w:w="1404"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2025 (Jan-Jun)</w:t>
            </w:r>
          </w:p>
        </w:tc>
        <w:tc>
          <w:tcPr>
            <w:tcW w:w="1140"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3,419</w:t>
            </w:r>
          </w:p>
        </w:tc>
        <w:tc>
          <w:tcPr>
            <w:tcW w:w="1788"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15%</w:t>
            </w:r>
          </w:p>
        </w:tc>
        <w:tc>
          <w:tcPr>
            <w:tcW w:w="3816" w:type="dxa"/>
            <w:vAlign w:val="center"/>
            <w:hideMark/>
          </w:tcPr>
          <w:p w:rsidR="00244B5B" w:rsidRPr="00244B5B" w:rsidRDefault="00244B5B" w:rsidP="00244B5B">
            <w:pPr>
              <w:spacing w:after="0"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Already higher than the same period in 2024</w:t>
            </w:r>
          </w:p>
        </w:tc>
      </w:tr>
    </w:tbl>
    <w:p w:rsidR="00244B5B" w:rsidRPr="00244B5B" w:rsidRDefault="00244B5B" w:rsidP="00244B5B">
      <w:p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p w:rsidR="00244B5B" w:rsidRPr="00244B5B" w:rsidRDefault="00244B5B" w:rsidP="00244B5B">
      <w:p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b/>
          <w:bCs/>
          <w:sz w:val="24"/>
          <w:szCs w:val="24"/>
        </w:rPr>
        <w:t>Analysis:</w:t>
      </w:r>
      <w:r w:rsidRPr="00244B5B">
        <w:rPr>
          <w:rFonts w:ascii="Times New Roman" w:eastAsia="Times New Roman" w:hAnsi="Times New Roman" w:cs="Times New Roman"/>
          <w:sz w:val="24"/>
          <w:szCs w:val="24"/>
        </w:rPr>
        <w:t xml:space="preserve"> </w:t>
      </w:r>
      <w:r w:rsidRPr="00244B5B">
        <w:rPr>
          <w:rFonts w:ascii="Times New Roman" w:eastAsia="Times New Roman" w:hAnsi="Times New Roman" w:cs="Times New Roman"/>
          <w:b/>
          <w:bCs/>
          <w:sz w:val="24"/>
          <w:szCs w:val="24"/>
        </w:rPr>
        <w:t xml:space="preserve">Referral rates grew exponentially from 210 in 2022 to 3,161 in 2023 (more than </w:t>
      </w:r>
      <w:proofErr w:type="spellStart"/>
      <w:r w:rsidRPr="00244B5B">
        <w:rPr>
          <w:rFonts w:ascii="Times New Roman" w:eastAsia="Times New Roman" w:hAnsi="Times New Roman" w:cs="Times New Roman"/>
          <w:b/>
          <w:bCs/>
          <w:sz w:val="24"/>
          <w:szCs w:val="24"/>
        </w:rPr>
        <w:t>fifteenfold</w:t>
      </w:r>
      <w:proofErr w:type="spellEnd"/>
      <w:r w:rsidRPr="00244B5B">
        <w:rPr>
          <w:rFonts w:ascii="Times New Roman" w:eastAsia="Times New Roman" w:hAnsi="Times New Roman" w:cs="Times New Roman"/>
          <w:b/>
          <w:bCs/>
          <w:sz w:val="24"/>
          <w:szCs w:val="24"/>
        </w:rPr>
        <w:t xml:space="preserve"> increase), </w:t>
      </w:r>
      <w:proofErr w:type="spellStart"/>
      <w:r w:rsidRPr="00244B5B">
        <w:rPr>
          <w:rFonts w:ascii="Times New Roman" w:eastAsia="Times New Roman" w:hAnsi="Times New Roman" w:cs="Times New Roman"/>
          <w:b/>
          <w:bCs/>
          <w:sz w:val="24"/>
          <w:szCs w:val="24"/>
        </w:rPr>
        <w:t>demostrating</w:t>
      </w:r>
      <w:proofErr w:type="spellEnd"/>
      <w:r w:rsidRPr="00244B5B">
        <w:rPr>
          <w:rFonts w:ascii="Times New Roman" w:eastAsia="Times New Roman" w:hAnsi="Times New Roman" w:cs="Times New Roman"/>
          <w:b/>
          <w:bCs/>
          <w:sz w:val="24"/>
          <w:szCs w:val="24"/>
        </w:rPr>
        <w:t xml:space="preserve"> the rapid </w:t>
      </w:r>
      <w:proofErr w:type="spellStart"/>
      <w:r w:rsidRPr="00244B5B">
        <w:rPr>
          <w:rFonts w:ascii="Times New Roman" w:eastAsia="Times New Roman" w:hAnsi="Times New Roman" w:cs="Times New Roman"/>
          <w:b/>
          <w:bCs/>
          <w:sz w:val="24"/>
          <w:szCs w:val="24"/>
        </w:rPr>
        <w:t>strenghtening</w:t>
      </w:r>
      <w:proofErr w:type="spellEnd"/>
      <w:r w:rsidRPr="00244B5B">
        <w:rPr>
          <w:rFonts w:ascii="Times New Roman" w:eastAsia="Times New Roman" w:hAnsi="Times New Roman" w:cs="Times New Roman"/>
          <w:b/>
          <w:bCs/>
          <w:sz w:val="24"/>
          <w:szCs w:val="24"/>
        </w:rPr>
        <w:t xml:space="preserve"> of ASCHMA’s referral system, supported by improved Standard Quality Assurance (SQA) supervision and </w:t>
      </w:r>
      <w:proofErr w:type="spellStart"/>
      <w:r w:rsidRPr="00244B5B">
        <w:rPr>
          <w:rFonts w:ascii="Times New Roman" w:eastAsia="Times New Roman" w:hAnsi="Times New Roman" w:cs="Times New Roman"/>
          <w:b/>
          <w:bCs/>
          <w:sz w:val="24"/>
          <w:szCs w:val="24"/>
        </w:rPr>
        <w:t>continous</w:t>
      </w:r>
      <w:proofErr w:type="spellEnd"/>
      <w:r w:rsidRPr="00244B5B">
        <w:rPr>
          <w:rFonts w:ascii="Times New Roman" w:eastAsia="Times New Roman" w:hAnsi="Times New Roman" w:cs="Times New Roman"/>
          <w:b/>
          <w:bCs/>
          <w:sz w:val="24"/>
          <w:szCs w:val="24"/>
        </w:rPr>
        <w:t xml:space="preserve"> monitoring. By 2024, referrals almost doubled again (88%), showing strengthened linkages between PHCCs and SCHPs. The first half of 2025 has already recorded 3,419 referrals, indicating a sustained upward trajectory despite infrastructure and </w:t>
      </w:r>
      <w:r w:rsidRPr="00244B5B">
        <w:rPr>
          <w:rFonts w:ascii="Times New Roman" w:eastAsia="Times New Roman" w:hAnsi="Times New Roman" w:cs="Times New Roman"/>
          <w:sz w:val="24"/>
          <w:szCs w:val="24"/>
        </w:rPr>
        <w:t>rural access issues</w:t>
      </w:r>
      <w:r w:rsidRPr="00244B5B">
        <w:rPr>
          <w:rFonts w:ascii="Times New Roman" w:eastAsia="Times New Roman" w:hAnsi="Times New Roman" w:cs="Times New Roman"/>
          <w:b/>
          <w:bCs/>
          <w:sz w:val="24"/>
          <w:szCs w:val="24"/>
        </w:rPr>
        <w:t xml:space="preserve">. </w:t>
      </w:r>
    </w:p>
    <w:p w:rsidR="00244B5B" w:rsidRPr="00244B5B" w:rsidRDefault="00244B5B" w:rsidP="00244B5B">
      <w:pPr>
        <w:spacing w:before="100" w:beforeAutospacing="1" w:after="100" w:afterAutospacing="1" w:line="240" w:lineRule="auto"/>
        <w:outlineLvl w:val="2"/>
        <w:rPr>
          <w:rFonts w:ascii="Times New Roman" w:eastAsia="Times New Roman" w:hAnsi="Times New Roman" w:cs="Times New Roman"/>
          <w:b/>
          <w:bCs/>
          <w:sz w:val="27"/>
          <w:szCs w:val="27"/>
        </w:rPr>
      </w:pPr>
      <w:r w:rsidRPr="00244B5B">
        <w:rPr>
          <w:rFonts w:ascii="Times New Roman" w:eastAsia="Times New Roman" w:hAnsi="Times New Roman" w:cs="Times New Roman"/>
          <w:b/>
          <w:bCs/>
          <w:sz w:val="27"/>
          <w:szCs w:val="27"/>
        </w:rPr>
        <w:t xml:space="preserve">8. Visualization of Trends </w:t>
      </w:r>
    </w:p>
    <w:p w:rsidR="00244B5B" w:rsidRPr="00244B5B" w:rsidRDefault="00244B5B" w:rsidP="00244B5B">
      <w:pPr>
        <w:spacing w:before="100" w:beforeAutospacing="1" w:after="100" w:afterAutospacing="1" w:line="240" w:lineRule="auto"/>
        <w:outlineLvl w:val="3"/>
        <w:rPr>
          <w:rFonts w:ascii="Times New Roman" w:eastAsia="Times New Roman" w:hAnsi="Times New Roman" w:cs="Times New Roman"/>
          <w:b/>
          <w:bCs/>
          <w:sz w:val="24"/>
          <w:szCs w:val="24"/>
        </w:rPr>
      </w:pPr>
      <w:r w:rsidRPr="00244B5B">
        <w:rPr>
          <w:rFonts w:ascii="Times New Roman" w:eastAsia="Times New Roman" w:hAnsi="Times New Roman" w:cs="Times New Roman"/>
          <w:b/>
          <w:bCs/>
          <w:sz w:val="24"/>
          <w:szCs w:val="24"/>
        </w:rPr>
        <w:t> </w:t>
      </w:r>
    </w:p>
    <w:p w:rsidR="00244B5B" w:rsidRPr="00244B5B" w:rsidRDefault="00244B5B" w:rsidP="00244B5B">
      <w:pPr>
        <w:spacing w:before="100" w:beforeAutospacing="1" w:after="100" w:afterAutospacing="1" w:line="240" w:lineRule="auto"/>
        <w:outlineLvl w:val="3"/>
        <w:rPr>
          <w:rFonts w:ascii="Times New Roman" w:eastAsia="Times New Roman" w:hAnsi="Times New Roman" w:cs="Times New Roman"/>
          <w:b/>
          <w:bCs/>
          <w:sz w:val="24"/>
          <w:szCs w:val="24"/>
        </w:rPr>
      </w:pPr>
      <w:r w:rsidRPr="00244B5B">
        <w:rPr>
          <w:rFonts w:ascii="Times New Roman" w:eastAsia="Times New Roman" w:hAnsi="Times New Roman" w:cs="Times New Roman"/>
          <w:b/>
          <w:bCs/>
          <w:sz w:val="24"/>
          <w:szCs w:val="24"/>
        </w:rPr>
        <w:lastRenderedPageBreak/>
        <w:t>Figure A: Yearly Access to Care by Enrollees (2021–2025)</w:t>
      </w:r>
    </w:p>
    <w:p w:rsidR="00244B5B" w:rsidRPr="00244B5B" w:rsidRDefault="00244B5B" w:rsidP="00244B5B">
      <w:pPr>
        <w:spacing w:before="100" w:beforeAutospacing="1" w:after="100" w:afterAutospacing="1" w:line="240" w:lineRule="auto"/>
        <w:outlineLvl w:val="3"/>
        <w:rPr>
          <w:rFonts w:ascii="Times New Roman" w:eastAsia="Times New Roman" w:hAnsi="Times New Roman" w:cs="Times New Roman"/>
          <w:b/>
          <w:bCs/>
          <w:sz w:val="24"/>
          <w:szCs w:val="24"/>
        </w:rPr>
      </w:pPr>
      <w:r w:rsidRPr="00244B5B">
        <w:rPr>
          <w:rFonts w:ascii="Times New Roman" w:eastAsia="Times New Roman" w:hAnsi="Times New Roman" w:cs="Times New Roman"/>
          <w:b/>
          <w:bCs/>
          <w:sz w:val="24"/>
          <w:szCs w:val="24"/>
        </w:rPr>
        <w:t>Figure B: Yearly Referrals to Secondary Health Providers (2021–2025)</w:t>
      </w:r>
    </w:p>
    <w:p w:rsidR="00244B5B" w:rsidRPr="00244B5B" w:rsidRDefault="00244B5B" w:rsidP="00244B5B">
      <w:p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b/>
          <w:bCs/>
          <w:sz w:val="24"/>
          <w:szCs w:val="24"/>
        </w:rPr>
        <w:t> </w:t>
      </w:r>
    </w:p>
    <w:p w:rsidR="00244B5B" w:rsidRPr="00244B5B" w:rsidRDefault="00244B5B" w:rsidP="00244B5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b/>
          <w:bCs/>
          <w:sz w:val="24"/>
          <w:szCs w:val="24"/>
        </w:rPr>
        <w:t>Findings from supervision, Monitoring, Evaluation, and Citizen Feedback</w:t>
      </w:r>
    </w:p>
    <w:p w:rsidR="00244B5B" w:rsidRPr="00244B5B" w:rsidRDefault="00244B5B" w:rsidP="00244B5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ASCHMA’s implementation of the health insurance scheme aligns with the Adamawa State Development Plan, particularly in improving access to quality health services for the poor and vulnerable.</w:t>
      </w:r>
    </w:p>
    <w:p w:rsidR="00244B5B" w:rsidRPr="00244B5B" w:rsidRDefault="00244B5B" w:rsidP="00244B5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Citizen feedback from LGAs confirms that access to care has improved, but challenges persist in the two-ways referral system, workforce gaps, and claim processing inefficiencies.</w:t>
      </w:r>
    </w:p>
    <w:p w:rsidR="00244B5B" w:rsidRPr="00244B5B" w:rsidRDefault="00244B5B" w:rsidP="00244B5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Facilities report delays in Decentralized Facility Financing (DFF) through the NPHCDA gateway and challenges with stock-outs and staff retention.</w:t>
      </w:r>
    </w:p>
    <w:p w:rsidR="00244B5B" w:rsidRPr="00244B5B" w:rsidRDefault="00244B5B" w:rsidP="00244B5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b/>
          <w:bCs/>
          <w:sz w:val="24"/>
          <w:szCs w:val="24"/>
        </w:rPr>
        <w:t>Challenges and Constraints</w:t>
      </w:r>
    </w:p>
    <w:p w:rsidR="00244B5B" w:rsidRPr="00244B5B" w:rsidRDefault="00244B5B" w:rsidP="00244B5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Inadequate technical health personnel in critical areas across many PHCCs.</w:t>
      </w:r>
    </w:p>
    <w:p w:rsidR="00244B5B" w:rsidRPr="00244B5B" w:rsidRDefault="00244B5B" w:rsidP="00244B5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Manual processing of claims causing delays and payment errors.</w:t>
      </w:r>
    </w:p>
    <w:p w:rsidR="00244B5B" w:rsidRPr="00244B5B" w:rsidRDefault="00244B5B" w:rsidP="00244B5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Inefficient referral systems in some LGAs.</w:t>
      </w:r>
    </w:p>
    <w:p w:rsidR="00244B5B" w:rsidRPr="00244B5B" w:rsidRDefault="00244B5B" w:rsidP="00244B5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Security and infrastructure limitations in hard-to-reach areas.</w:t>
      </w:r>
    </w:p>
    <w:p w:rsidR="00244B5B" w:rsidRPr="00244B5B" w:rsidRDefault="00244B5B" w:rsidP="00244B5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Underutilization of the ASCHMA online portal and limited awareness of the health insurance scheme at the community levels.</w:t>
      </w:r>
    </w:p>
    <w:p w:rsidR="00244B5B" w:rsidRPr="00244B5B" w:rsidRDefault="00244B5B" w:rsidP="00244B5B">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b/>
          <w:bCs/>
          <w:sz w:val="24"/>
          <w:szCs w:val="24"/>
        </w:rPr>
        <w:t>Recommendations for Fiscal and Programmatic Improvement</w:t>
      </w:r>
    </w:p>
    <w:p w:rsidR="00244B5B" w:rsidRPr="00244B5B" w:rsidRDefault="00244B5B" w:rsidP="00244B5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Reallocation and training of technical staff within health facilities to address capacity gaps.</w:t>
      </w:r>
    </w:p>
    <w:p w:rsidR="00244B5B" w:rsidRPr="00244B5B" w:rsidRDefault="00244B5B" w:rsidP="00244B5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Digitization of claims processing to ensure efficiency and transparency.</w:t>
      </w:r>
    </w:p>
    <w:p w:rsidR="00244B5B" w:rsidRPr="00244B5B" w:rsidRDefault="00244B5B" w:rsidP="00244B5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Strengthen two-ways referral linkages between PHCCs and SHCPs.</w:t>
      </w:r>
    </w:p>
    <w:p w:rsidR="00244B5B" w:rsidRPr="00244B5B" w:rsidRDefault="00244B5B" w:rsidP="00244B5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xml:space="preserve">Enhance community engagement through regular </w:t>
      </w:r>
      <w:proofErr w:type="spellStart"/>
      <w:r w:rsidRPr="00244B5B">
        <w:rPr>
          <w:rFonts w:ascii="Times New Roman" w:eastAsia="Times New Roman" w:hAnsi="Times New Roman" w:cs="Times New Roman"/>
          <w:sz w:val="24"/>
          <w:szCs w:val="24"/>
        </w:rPr>
        <w:t>townhalls</w:t>
      </w:r>
      <w:proofErr w:type="spellEnd"/>
      <w:r w:rsidRPr="00244B5B">
        <w:rPr>
          <w:rFonts w:ascii="Times New Roman" w:eastAsia="Times New Roman" w:hAnsi="Times New Roman" w:cs="Times New Roman"/>
          <w:sz w:val="24"/>
          <w:szCs w:val="24"/>
        </w:rPr>
        <w:t xml:space="preserve"> and community dialogue.</w:t>
      </w:r>
    </w:p>
    <w:p w:rsidR="00244B5B" w:rsidRPr="00244B5B" w:rsidRDefault="00244B5B" w:rsidP="00244B5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Enhanced collaboration with the M&amp;E unit for continuous feedback integration and adaptive learning.</w:t>
      </w:r>
    </w:p>
    <w:p w:rsidR="00244B5B" w:rsidRPr="00244B5B" w:rsidRDefault="00244B5B" w:rsidP="00244B5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Sustained support for the ICT infrastructure that has proven vital for referral, citizen feedback as well as addressing grievances.</w:t>
      </w:r>
    </w:p>
    <w:p w:rsidR="00244B5B" w:rsidRPr="00244B5B" w:rsidRDefault="00244B5B" w:rsidP="00244B5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Increase awareness campaigns at ward/community levels.</w:t>
      </w:r>
    </w:p>
    <w:p w:rsidR="00244B5B" w:rsidRPr="00244B5B" w:rsidRDefault="00244B5B" w:rsidP="00244B5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Ensure timely disbursement of DFF and strengthen oversight of PHCC expenditures.</w:t>
      </w:r>
    </w:p>
    <w:p w:rsidR="00244B5B" w:rsidRPr="00244B5B" w:rsidRDefault="00244B5B" w:rsidP="00244B5B">
      <w:pPr>
        <w:spacing w:before="100" w:beforeAutospacing="1" w:after="100" w:afterAutospacing="1" w:line="240" w:lineRule="auto"/>
        <w:rPr>
          <w:rFonts w:ascii="Times New Roman" w:eastAsia="Times New Roman" w:hAnsi="Times New Roman" w:cs="Times New Roman"/>
          <w:sz w:val="24"/>
          <w:szCs w:val="24"/>
        </w:rPr>
      </w:pPr>
      <w:r w:rsidRPr="00244B5B">
        <w:rPr>
          <w:rFonts w:ascii="Times New Roman" w:eastAsia="Times New Roman" w:hAnsi="Times New Roman" w:cs="Times New Roman"/>
          <w:sz w:val="24"/>
          <w:szCs w:val="24"/>
        </w:rPr>
        <w:t> </w:t>
      </w:r>
    </w:p>
    <w:p w:rsidR="00703052" w:rsidRDefault="00703052"/>
    <w:sectPr w:rsidR="007030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701FD"/>
    <w:multiLevelType w:val="multilevel"/>
    <w:tmpl w:val="C9901C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B23C7A"/>
    <w:multiLevelType w:val="multilevel"/>
    <w:tmpl w:val="A1EA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E253AD"/>
    <w:multiLevelType w:val="multilevel"/>
    <w:tmpl w:val="DBA26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0F6E98"/>
    <w:multiLevelType w:val="multilevel"/>
    <w:tmpl w:val="0228FE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B24E86"/>
    <w:multiLevelType w:val="multilevel"/>
    <w:tmpl w:val="3D9E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597C8B"/>
    <w:multiLevelType w:val="multilevel"/>
    <w:tmpl w:val="479C8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7F2D92"/>
    <w:multiLevelType w:val="multilevel"/>
    <w:tmpl w:val="DAC0920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B121EE"/>
    <w:multiLevelType w:val="multilevel"/>
    <w:tmpl w:val="C730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EE6710"/>
    <w:multiLevelType w:val="multilevel"/>
    <w:tmpl w:val="43741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3513DD"/>
    <w:multiLevelType w:val="multilevel"/>
    <w:tmpl w:val="74B23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B06206"/>
    <w:multiLevelType w:val="multilevel"/>
    <w:tmpl w:val="ACC486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0B6ED9"/>
    <w:multiLevelType w:val="multilevel"/>
    <w:tmpl w:val="B804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D24896"/>
    <w:multiLevelType w:val="multilevel"/>
    <w:tmpl w:val="D2E65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7C134F"/>
    <w:multiLevelType w:val="multilevel"/>
    <w:tmpl w:val="CB86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DD151E"/>
    <w:multiLevelType w:val="multilevel"/>
    <w:tmpl w:val="CBE8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2976DB"/>
    <w:multiLevelType w:val="multilevel"/>
    <w:tmpl w:val="27009C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AA2672"/>
    <w:multiLevelType w:val="multilevel"/>
    <w:tmpl w:val="3506A2A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9F5B68"/>
    <w:multiLevelType w:val="multilevel"/>
    <w:tmpl w:val="FCB2E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10"/>
  </w:num>
  <w:num w:numId="4">
    <w:abstractNumId w:val="14"/>
  </w:num>
  <w:num w:numId="5">
    <w:abstractNumId w:val="8"/>
  </w:num>
  <w:num w:numId="6">
    <w:abstractNumId w:val="5"/>
  </w:num>
  <w:num w:numId="7">
    <w:abstractNumId w:val="12"/>
  </w:num>
  <w:num w:numId="8">
    <w:abstractNumId w:val="4"/>
  </w:num>
  <w:num w:numId="9">
    <w:abstractNumId w:val="11"/>
  </w:num>
  <w:num w:numId="10">
    <w:abstractNumId w:val="17"/>
  </w:num>
  <w:num w:numId="11">
    <w:abstractNumId w:val="7"/>
  </w:num>
  <w:num w:numId="12">
    <w:abstractNumId w:val="15"/>
  </w:num>
  <w:num w:numId="13">
    <w:abstractNumId w:val="6"/>
  </w:num>
  <w:num w:numId="14">
    <w:abstractNumId w:val="13"/>
  </w:num>
  <w:num w:numId="15">
    <w:abstractNumId w:val="0"/>
  </w:num>
  <w:num w:numId="16">
    <w:abstractNumId w:val="1"/>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B5B"/>
    <w:rsid w:val="00244B5B"/>
    <w:rsid w:val="00703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73C4C"/>
  <w15:chartTrackingRefBased/>
  <w15:docId w15:val="{C591FA1D-1C06-4CFB-BCA2-3235B2A7A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44B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44B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44B5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4B5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44B5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44B5B"/>
    <w:rPr>
      <w:rFonts w:ascii="Times New Roman" w:eastAsia="Times New Roman" w:hAnsi="Times New Roman" w:cs="Times New Roman"/>
      <w:b/>
      <w:bCs/>
      <w:sz w:val="24"/>
      <w:szCs w:val="24"/>
    </w:rPr>
  </w:style>
  <w:style w:type="character" w:styleId="Strong">
    <w:name w:val="Strong"/>
    <w:basedOn w:val="DefaultParagraphFont"/>
    <w:uiPriority w:val="22"/>
    <w:qFormat/>
    <w:rsid w:val="00244B5B"/>
    <w:rPr>
      <w:b/>
      <w:bCs/>
    </w:rPr>
  </w:style>
  <w:style w:type="paragraph" w:styleId="NormalWeb">
    <w:name w:val="Normal (Web)"/>
    <w:basedOn w:val="Normal"/>
    <w:uiPriority w:val="99"/>
    <w:semiHidden/>
    <w:unhideWhenUsed/>
    <w:rsid w:val="00244B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44B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78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3165</Words>
  <Characters>18046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2026-01-14T10:41:00Z</dcterms:created>
  <dcterms:modified xsi:type="dcterms:W3CDTF">2026-01-14T10:45:00Z</dcterms:modified>
</cp:coreProperties>
</file>